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9984F" w14:textId="09350848" w:rsidR="00D91A4B" w:rsidRPr="00036D10" w:rsidRDefault="00036D10" w:rsidP="00BF280D">
      <w:pPr>
        <w:rPr>
          <w:rFonts w:ascii="Vodafone Rg" w:hAnsi="Vodafone Rg" w:cs="Vodafone Rg"/>
          <w:b/>
          <w:bCs/>
          <w:color w:val="C00000"/>
          <w:lang w:val="en-US"/>
        </w:rPr>
      </w:pPr>
      <w:r w:rsidRPr="00036D10">
        <w:rPr>
          <w:rFonts w:ascii="Vodafone Rg" w:hAnsi="Vodafone Rg" w:cs="Vodafone Rg"/>
          <w:b/>
          <w:bCs/>
          <w:color w:val="C00000"/>
          <w:lang w:val="en-US"/>
        </w:rPr>
        <w:t>Vodafone Qatar</w:t>
      </w:r>
    </w:p>
    <w:p w14:paraId="5B12CA8E" w14:textId="77777777" w:rsidR="00036D10" w:rsidRPr="00036D10" w:rsidRDefault="00036D10" w:rsidP="00BF280D">
      <w:pPr>
        <w:rPr>
          <w:rFonts w:ascii="Vodafone Rg" w:hAnsi="Vodafone Rg" w:cs="Vodafone Rg"/>
          <w:lang w:val="en-US"/>
        </w:rPr>
      </w:pPr>
    </w:p>
    <w:p w14:paraId="66EBD567" w14:textId="0D4049C1" w:rsidR="00BF280D" w:rsidRPr="00036D10" w:rsidRDefault="00036D10" w:rsidP="00BF280D">
      <w:pPr>
        <w:rPr>
          <w:rFonts w:ascii="Vodafone Rg" w:hAnsi="Vodafone Rg" w:cs="Vodafone Rg"/>
          <w:lang w:val="en-US"/>
        </w:rPr>
      </w:pPr>
      <w:r w:rsidRPr="00036D10">
        <w:rPr>
          <w:rFonts w:ascii="Vodafone Rg" w:hAnsi="Vodafone Rg" w:cs="Vodafone Rg"/>
          <w:lang w:val="en-US"/>
        </w:rPr>
        <w:t xml:space="preserve">Following is the list of </w:t>
      </w:r>
      <w:r w:rsidRPr="00960F2B">
        <w:rPr>
          <w:rFonts w:ascii="Vodafone Rg" w:hAnsi="Vodafone Rg" w:cs="Vodafone Rg"/>
          <w:b/>
          <w:bCs/>
          <w:color w:val="EE0000"/>
          <w:lang w:val="en-US"/>
        </w:rPr>
        <w:t>180+</w:t>
      </w:r>
      <w:r w:rsidRPr="00036D10">
        <w:rPr>
          <w:rFonts w:ascii="Vodafone Rg" w:hAnsi="Vodafone Rg" w:cs="Vodafone Rg"/>
          <w:lang w:val="en-US"/>
        </w:rPr>
        <w:t xml:space="preserve"> countries included </w:t>
      </w:r>
      <w:r w:rsidR="00983764">
        <w:rPr>
          <w:rFonts w:ascii="Vodafone Rg" w:hAnsi="Vodafone Rg" w:cs="Vodafone Rg"/>
          <w:lang w:val="en-US"/>
        </w:rPr>
        <w:t>with</w:t>
      </w:r>
      <w:r w:rsidRPr="00036D10">
        <w:rPr>
          <w:rFonts w:ascii="Vodafone Rg" w:hAnsi="Vodafone Rg" w:cs="Vodafone Rg"/>
          <w:lang w:val="en-US"/>
        </w:rPr>
        <w:t xml:space="preserve"> </w:t>
      </w:r>
      <w:r w:rsidRPr="00960F2B">
        <w:rPr>
          <w:rFonts w:ascii="Vodafone Rg" w:hAnsi="Vodafone Rg" w:cs="Vodafone Rg"/>
          <w:b/>
          <w:bCs/>
          <w:color w:val="EE0000"/>
          <w:lang w:val="en-US"/>
        </w:rPr>
        <w:t>International</w:t>
      </w:r>
      <w:r w:rsidRPr="00960F2B">
        <w:rPr>
          <w:rFonts w:ascii="Vodafone Rg" w:hAnsi="Vodafone Rg" w:cs="Vodafone Rg"/>
          <w:color w:val="EE0000"/>
          <w:lang w:val="en-US"/>
        </w:rPr>
        <w:t xml:space="preserve"> </w:t>
      </w:r>
      <w:r w:rsidRPr="00960F2B">
        <w:rPr>
          <w:rFonts w:ascii="Vodafone Rg" w:hAnsi="Vodafone Rg" w:cs="Vodafone Rg"/>
          <w:b/>
          <w:bCs/>
          <w:color w:val="EE0000"/>
          <w:lang w:val="en-US"/>
        </w:rPr>
        <w:t>Minutes</w:t>
      </w:r>
      <w:r w:rsidRPr="00960F2B">
        <w:rPr>
          <w:rFonts w:ascii="Vodafone Rg" w:hAnsi="Vodafone Rg" w:cs="Vodafone Rg"/>
          <w:color w:val="EE0000"/>
          <w:lang w:val="en-US"/>
        </w:rPr>
        <w:t xml:space="preserve"> </w:t>
      </w:r>
      <w:r w:rsidR="00983764">
        <w:rPr>
          <w:rFonts w:ascii="Vodafone Rg" w:hAnsi="Vodafone Rg" w:cs="Vodafone Rg"/>
          <w:lang w:val="en-US"/>
        </w:rPr>
        <w:t>for</w:t>
      </w:r>
      <w:r w:rsidRPr="00036D10">
        <w:rPr>
          <w:rFonts w:ascii="Vodafone Rg" w:hAnsi="Vodafone Rg" w:cs="Vodafone Rg"/>
          <w:lang w:val="en-US"/>
        </w:rPr>
        <w:t xml:space="preserve"> the </w:t>
      </w:r>
      <w:r w:rsidRPr="00960F2B">
        <w:rPr>
          <w:rFonts w:ascii="Vodafone Rg" w:hAnsi="Vodafone Rg" w:cs="Vodafone Rg"/>
          <w:b/>
          <w:bCs/>
          <w:color w:val="EE0000"/>
          <w:lang w:val="en-US"/>
        </w:rPr>
        <w:t xml:space="preserve">New Unlimited+ Plans </w:t>
      </w:r>
      <w:r w:rsidRPr="00036D10">
        <w:rPr>
          <w:rFonts w:ascii="Vodafone Rg" w:hAnsi="Vodafone Rg" w:cs="Vodafone Rg"/>
          <w:lang w:val="en-US"/>
        </w:rPr>
        <w:t xml:space="preserve">&amp; the </w:t>
      </w:r>
      <w:r w:rsidRPr="00960F2B">
        <w:rPr>
          <w:rFonts w:ascii="Vodafone Rg" w:hAnsi="Vodafone Rg" w:cs="Vodafone Rg"/>
          <w:b/>
          <w:bCs/>
          <w:color w:val="EE0000"/>
          <w:lang w:val="en-US"/>
        </w:rPr>
        <w:t>New Postpaid+ Plans</w:t>
      </w:r>
      <w:r w:rsidRPr="00036D10">
        <w:rPr>
          <w:rFonts w:ascii="Vodafone Rg" w:hAnsi="Vodafone Rg" w:cs="Vodafone Rg"/>
          <w:lang w:val="en-US"/>
        </w:rPr>
        <w:t>.</w:t>
      </w:r>
    </w:p>
    <w:p w14:paraId="37B679B2" w14:textId="77777777" w:rsidR="00036D10" w:rsidRPr="00036D10" w:rsidRDefault="00036D10" w:rsidP="00BF280D">
      <w:pPr>
        <w:rPr>
          <w:rFonts w:ascii="Vodafone Rg" w:hAnsi="Vodafone Rg" w:cs="Vodafone Rg"/>
          <w:lang w:val="en-US"/>
        </w:rPr>
      </w:pPr>
    </w:p>
    <w:tbl>
      <w:tblPr>
        <w:tblStyle w:val="TableGrid"/>
        <w:tblW w:w="0" w:type="auto"/>
        <w:tblLook w:val="04A0" w:firstRow="1" w:lastRow="0" w:firstColumn="1" w:lastColumn="0" w:noHBand="0" w:noVBand="1"/>
      </w:tblPr>
      <w:tblGrid>
        <w:gridCol w:w="1705"/>
        <w:gridCol w:w="7650"/>
        <w:gridCol w:w="1345"/>
      </w:tblGrid>
      <w:tr w:rsidR="00BF280D" w:rsidRPr="00983764" w14:paraId="3F316AAC" w14:textId="77777777" w:rsidTr="00036D10">
        <w:tc>
          <w:tcPr>
            <w:tcW w:w="1705" w:type="dxa"/>
            <w:shd w:val="clear" w:color="auto" w:fill="C00000"/>
          </w:tcPr>
          <w:p w14:paraId="349375A0" w14:textId="48BAC478" w:rsidR="00BF280D" w:rsidRPr="00983764" w:rsidRDefault="00BF280D" w:rsidP="00BF280D">
            <w:pPr>
              <w:rPr>
                <w:rFonts w:ascii="Vodafone Rg" w:hAnsi="Vodafone Rg" w:cs="Vodafone Rg"/>
                <w:b/>
                <w:bCs/>
                <w:sz w:val="28"/>
                <w:szCs w:val="28"/>
                <w:lang w:val="en-US"/>
              </w:rPr>
            </w:pPr>
            <w:r w:rsidRPr="00983764">
              <w:rPr>
                <w:rFonts w:ascii="Vodafone Rg" w:hAnsi="Vodafone Rg" w:cs="Vodafone Rg"/>
                <w:b/>
                <w:bCs/>
                <w:sz w:val="28"/>
                <w:szCs w:val="28"/>
                <w:lang w:val="en-US"/>
              </w:rPr>
              <w:t>Region</w:t>
            </w:r>
          </w:p>
        </w:tc>
        <w:tc>
          <w:tcPr>
            <w:tcW w:w="7650" w:type="dxa"/>
            <w:shd w:val="clear" w:color="auto" w:fill="C00000"/>
          </w:tcPr>
          <w:p w14:paraId="18144130" w14:textId="54DD52F5" w:rsidR="00BF280D" w:rsidRPr="00983764" w:rsidRDefault="00C90629" w:rsidP="00BF280D">
            <w:pPr>
              <w:rPr>
                <w:rFonts w:ascii="Vodafone Rg" w:hAnsi="Vodafone Rg" w:cs="Vodafone Rg"/>
                <w:b/>
                <w:bCs/>
                <w:sz w:val="28"/>
                <w:szCs w:val="28"/>
                <w:lang w:val="en-US"/>
              </w:rPr>
            </w:pPr>
            <w:r w:rsidRPr="00983764">
              <w:rPr>
                <w:rFonts w:ascii="Vodafone Rg" w:hAnsi="Vodafone Rg" w:cs="Vodafone Rg"/>
                <w:b/>
                <w:bCs/>
                <w:sz w:val="28"/>
                <w:szCs w:val="28"/>
                <w:lang w:val="en-US"/>
              </w:rPr>
              <w:t>Countries Included</w:t>
            </w:r>
          </w:p>
        </w:tc>
        <w:tc>
          <w:tcPr>
            <w:tcW w:w="1345" w:type="dxa"/>
            <w:shd w:val="clear" w:color="auto" w:fill="C00000"/>
          </w:tcPr>
          <w:p w14:paraId="5C157B8B" w14:textId="6776738A" w:rsidR="00BF280D" w:rsidRPr="00983764" w:rsidRDefault="00BF280D" w:rsidP="00BF280D">
            <w:pPr>
              <w:rPr>
                <w:rFonts w:ascii="Vodafone Rg" w:hAnsi="Vodafone Rg" w:cs="Vodafone Rg"/>
                <w:b/>
                <w:bCs/>
                <w:sz w:val="28"/>
                <w:szCs w:val="28"/>
                <w:lang w:val="en-US"/>
              </w:rPr>
            </w:pPr>
            <w:r w:rsidRPr="00983764">
              <w:rPr>
                <w:rFonts w:ascii="Vodafone Rg" w:hAnsi="Vodafone Rg" w:cs="Vodafone Rg"/>
                <w:b/>
                <w:bCs/>
                <w:sz w:val="28"/>
                <w:szCs w:val="28"/>
                <w:lang w:val="en-US"/>
              </w:rPr>
              <w:t>Total</w:t>
            </w:r>
          </w:p>
        </w:tc>
      </w:tr>
      <w:tr w:rsidR="00BF280D" w:rsidRPr="00036D10" w14:paraId="15C4DB98" w14:textId="77777777" w:rsidTr="00036D10">
        <w:tc>
          <w:tcPr>
            <w:tcW w:w="1705" w:type="dxa"/>
            <w:vAlign w:val="center"/>
          </w:tcPr>
          <w:p w14:paraId="65D626E4" w14:textId="1FE0E7CD" w:rsidR="00BF280D" w:rsidRPr="00036D10" w:rsidRDefault="00BF280D" w:rsidP="00036D10">
            <w:pPr>
              <w:rPr>
                <w:rFonts w:ascii="Vodafone Rg" w:hAnsi="Vodafone Rg" w:cs="Vodafone Rg"/>
                <w:lang w:val="en-US"/>
              </w:rPr>
            </w:pPr>
            <w:r w:rsidRPr="00BF280D">
              <w:rPr>
                <w:rFonts w:ascii="Vodafone Rg" w:hAnsi="Vodafone Rg" w:cs="Vodafone Rg"/>
                <w:b/>
                <w:bCs/>
                <w:lang w:val="en-US"/>
              </w:rPr>
              <w:t>Asia</w:t>
            </w:r>
          </w:p>
        </w:tc>
        <w:tc>
          <w:tcPr>
            <w:tcW w:w="7650" w:type="dxa"/>
            <w:vAlign w:val="center"/>
          </w:tcPr>
          <w:p w14:paraId="639EF3EF" w14:textId="255D7C87" w:rsidR="00BF280D" w:rsidRPr="00036D10" w:rsidRDefault="00BF280D" w:rsidP="00036D10">
            <w:pPr>
              <w:rPr>
                <w:rFonts w:ascii="Vodafone Rg" w:hAnsi="Vodafone Rg" w:cs="Vodafone Rg"/>
                <w:lang w:val="en-US"/>
              </w:rPr>
            </w:pPr>
            <w:r w:rsidRPr="00BF280D">
              <w:rPr>
                <w:rFonts w:ascii="Vodafone Rg" w:hAnsi="Vodafone Rg" w:cs="Vodafone Rg"/>
                <w:lang w:val="en-US"/>
              </w:rPr>
              <w:t>Afghanistan, Armenia, Azerbaijan, Bahrain, Bangladesh, Brunei, Cambodia, China, Georgia,</w:t>
            </w:r>
            <w:r w:rsidRPr="00036D10">
              <w:rPr>
                <w:rFonts w:ascii="Vodafone Rg" w:hAnsi="Vodafone Rg" w:cs="Vodafone Rg"/>
                <w:lang w:val="en-US"/>
              </w:rPr>
              <w:t xml:space="preserve"> Hon Kong,</w:t>
            </w:r>
            <w:r w:rsidRPr="00BF280D">
              <w:rPr>
                <w:rFonts w:ascii="Vodafone Rg" w:hAnsi="Vodafone Rg" w:cs="Vodafone Rg"/>
                <w:lang w:val="en-US"/>
              </w:rPr>
              <w:t xml:space="preserve"> India, Indonesia, Iran, Iraq, Japan, Jordan, Kazakhstan, Kuwait, Kyrgyzstan, Laos, Lebanon, Macau, Malaysia, Maldives, Mongolia, Myanmar, Nepal, Oman, Pakistan, Palestine, Philippines, Saudi Arabia, Singapore, South Korea, Sri Lanka, Taiwan, Tajikistan, Thailand, Turkey, UAE, Uzbekistan, Vietnam</w:t>
            </w:r>
          </w:p>
        </w:tc>
        <w:tc>
          <w:tcPr>
            <w:tcW w:w="1345" w:type="dxa"/>
            <w:vAlign w:val="center"/>
          </w:tcPr>
          <w:p w14:paraId="6401025F" w14:textId="3DE8C1BE" w:rsidR="00BF280D" w:rsidRPr="00036D10" w:rsidRDefault="00BF280D" w:rsidP="00036D10">
            <w:pPr>
              <w:jc w:val="center"/>
              <w:rPr>
                <w:rFonts w:ascii="Vodafone Rg" w:hAnsi="Vodafone Rg" w:cs="Vodafone Rg"/>
                <w:b/>
                <w:bCs/>
                <w:lang w:val="en-US"/>
              </w:rPr>
            </w:pPr>
            <w:r w:rsidRPr="00BF280D">
              <w:rPr>
                <w:rFonts w:ascii="Vodafone Rg" w:hAnsi="Vodafone Rg" w:cs="Vodafone Rg"/>
                <w:b/>
                <w:bCs/>
                <w:lang w:val="en-US"/>
              </w:rPr>
              <w:t>4</w:t>
            </w:r>
            <w:r w:rsidRPr="00036D10">
              <w:rPr>
                <w:rFonts w:ascii="Vodafone Rg" w:hAnsi="Vodafone Rg" w:cs="Vodafone Rg"/>
                <w:b/>
                <w:bCs/>
                <w:lang w:val="en-US"/>
              </w:rPr>
              <w:t>2</w:t>
            </w:r>
          </w:p>
        </w:tc>
      </w:tr>
      <w:tr w:rsidR="00BF280D" w:rsidRPr="00036D10" w14:paraId="2054CF87" w14:textId="77777777" w:rsidTr="00036D10">
        <w:tc>
          <w:tcPr>
            <w:tcW w:w="1705" w:type="dxa"/>
            <w:vAlign w:val="center"/>
          </w:tcPr>
          <w:p w14:paraId="3C290AF8" w14:textId="3BECBA7C" w:rsidR="00BF280D" w:rsidRPr="00036D10" w:rsidRDefault="00BF280D" w:rsidP="00036D10">
            <w:pPr>
              <w:rPr>
                <w:rFonts w:ascii="Vodafone Rg" w:hAnsi="Vodafone Rg" w:cs="Vodafone Rg"/>
                <w:lang w:val="en-US"/>
              </w:rPr>
            </w:pPr>
            <w:r w:rsidRPr="00BF280D">
              <w:rPr>
                <w:rFonts w:ascii="Vodafone Rg" w:hAnsi="Vodafone Rg" w:cs="Vodafone Rg"/>
                <w:b/>
                <w:bCs/>
                <w:lang w:val="en-US"/>
              </w:rPr>
              <w:t>Europe</w:t>
            </w:r>
          </w:p>
        </w:tc>
        <w:tc>
          <w:tcPr>
            <w:tcW w:w="7650" w:type="dxa"/>
            <w:vAlign w:val="center"/>
          </w:tcPr>
          <w:p w14:paraId="0D96A124" w14:textId="330FCD31" w:rsidR="00BF280D" w:rsidRPr="00036D10" w:rsidRDefault="00BF280D" w:rsidP="00036D10">
            <w:pPr>
              <w:rPr>
                <w:rFonts w:ascii="Vodafone Rg" w:hAnsi="Vodafone Rg" w:cs="Vodafone Rg"/>
                <w:lang w:val="en-US"/>
              </w:rPr>
            </w:pPr>
            <w:r w:rsidRPr="00BF280D">
              <w:rPr>
                <w:rFonts w:ascii="Vodafone Rg" w:hAnsi="Vodafone Rg" w:cs="Vodafone Rg"/>
                <w:lang w:val="en-US"/>
              </w:rPr>
              <w:t>Albania, Andorra, Austria, Belarus, Belgium, Bosnia and Herzegovina, Bulgaria, Croatia, Cyprus, Czech Republic, Denmark, Estonia, Faroe Islands, Finland, France, Germany, Gibraltar, Greece, Guernsey, Hungary, Iceland, Ireland, Isle of Man, Italy, Jersey, Latvia, Liechtenstein, Lithuania, Luxembourg, Macedonia, Malta, Moldova, Monaco, Montenegro, Netherlands, Norway, Poland, Portugal, Romania, Russia, Serbia, Slovakia, Slovenia, Spain, Sweden, Switzerland, UK, Ukraine</w:t>
            </w:r>
          </w:p>
        </w:tc>
        <w:tc>
          <w:tcPr>
            <w:tcW w:w="1345" w:type="dxa"/>
            <w:vAlign w:val="center"/>
          </w:tcPr>
          <w:p w14:paraId="66B09BC5" w14:textId="375A5EEF" w:rsidR="00BF280D" w:rsidRPr="00036D10" w:rsidRDefault="00BF280D" w:rsidP="00036D10">
            <w:pPr>
              <w:jc w:val="center"/>
              <w:rPr>
                <w:rFonts w:ascii="Vodafone Rg" w:hAnsi="Vodafone Rg" w:cs="Vodafone Rg"/>
                <w:b/>
                <w:bCs/>
                <w:lang w:val="en-US"/>
              </w:rPr>
            </w:pPr>
            <w:r w:rsidRPr="00036D10">
              <w:rPr>
                <w:rFonts w:ascii="Vodafone Rg" w:hAnsi="Vodafone Rg" w:cs="Vodafone Rg"/>
                <w:b/>
                <w:bCs/>
                <w:lang w:val="en-US"/>
              </w:rPr>
              <w:t>48</w:t>
            </w:r>
          </w:p>
        </w:tc>
      </w:tr>
      <w:tr w:rsidR="00BF280D" w:rsidRPr="00036D10" w14:paraId="4A594292" w14:textId="77777777" w:rsidTr="00036D10">
        <w:tc>
          <w:tcPr>
            <w:tcW w:w="1705" w:type="dxa"/>
            <w:vAlign w:val="center"/>
          </w:tcPr>
          <w:p w14:paraId="70AA244A" w14:textId="3CCB184E" w:rsidR="00BF280D" w:rsidRPr="00036D10" w:rsidRDefault="00BF280D" w:rsidP="00036D10">
            <w:pPr>
              <w:rPr>
                <w:rFonts w:ascii="Vodafone Rg" w:hAnsi="Vodafone Rg" w:cs="Vodafone Rg"/>
                <w:lang w:val="en-US"/>
              </w:rPr>
            </w:pPr>
            <w:r w:rsidRPr="00BF280D">
              <w:rPr>
                <w:rFonts w:ascii="Vodafone Rg" w:hAnsi="Vodafone Rg" w:cs="Vodafone Rg"/>
                <w:b/>
                <w:bCs/>
                <w:lang w:val="en-US"/>
              </w:rPr>
              <w:t>Africa</w:t>
            </w:r>
          </w:p>
        </w:tc>
        <w:tc>
          <w:tcPr>
            <w:tcW w:w="7650" w:type="dxa"/>
            <w:vAlign w:val="center"/>
          </w:tcPr>
          <w:p w14:paraId="4A3F1834" w14:textId="4CA19423" w:rsidR="00BF280D" w:rsidRPr="00036D10" w:rsidRDefault="00BF280D" w:rsidP="00036D10">
            <w:pPr>
              <w:rPr>
                <w:rFonts w:ascii="Vodafone Rg" w:hAnsi="Vodafone Rg" w:cs="Vodafone Rg"/>
                <w:lang w:val="en-US"/>
              </w:rPr>
            </w:pPr>
            <w:r w:rsidRPr="00BF280D">
              <w:rPr>
                <w:rFonts w:ascii="Vodafone Rg" w:hAnsi="Vodafone Rg" w:cs="Vodafone Rg"/>
                <w:lang w:val="en-US"/>
              </w:rPr>
              <w:t>Algeria, Benin, Botswana, Burkina Faso, Cameroon, Cape Verde, Chad, Cote d’Ivoire, Democratic Republic of the Congo, Egypt, Ethiopia, Ghana, Guinea, Guinea-Bissau, Kenya, Lesotho, Liberia, Madagascar, Malawi, Mali, Mauritius, Morocco, Mozambique, Nigeria, Republic of the Congo, Rwanda, Senegal, Seychelles, Sierra Leone, South Africa, South Sudan, Sudan, Swaziland, Tanzania, Tunisia, Uganda, Zambia, Zimbabwe</w:t>
            </w:r>
          </w:p>
        </w:tc>
        <w:tc>
          <w:tcPr>
            <w:tcW w:w="1345" w:type="dxa"/>
            <w:vAlign w:val="center"/>
          </w:tcPr>
          <w:p w14:paraId="71905D54" w14:textId="2AF2722B" w:rsidR="00BF280D" w:rsidRPr="00036D10" w:rsidRDefault="00BF280D" w:rsidP="00036D10">
            <w:pPr>
              <w:jc w:val="center"/>
              <w:rPr>
                <w:rFonts w:ascii="Vodafone Rg" w:hAnsi="Vodafone Rg" w:cs="Vodafone Rg"/>
                <w:b/>
                <w:bCs/>
                <w:lang w:val="en-US"/>
              </w:rPr>
            </w:pPr>
            <w:r w:rsidRPr="00036D10">
              <w:rPr>
                <w:rFonts w:ascii="Vodafone Rg" w:hAnsi="Vodafone Rg" w:cs="Vodafone Rg"/>
                <w:b/>
                <w:bCs/>
                <w:lang w:val="en-US"/>
              </w:rPr>
              <w:t>38</w:t>
            </w:r>
          </w:p>
        </w:tc>
      </w:tr>
      <w:tr w:rsidR="00BF280D" w:rsidRPr="00036D10" w14:paraId="4FFFD9C8" w14:textId="77777777" w:rsidTr="00036D10">
        <w:tc>
          <w:tcPr>
            <w:tcW w:w="1705" w:type="dxa"/>
            <w:vAlign w:val="center"/>
          </w:tcPr>
          <w:p w14:paraId="5D5BB9F9" w14:textId="5CA2774E" w:rsidR="00BF280D" w:rsidRPr="00036D10" w:rsidRDefault="00BF280D" w:rsidP="00036D10">
            <w:pPr>
              <w:rPr>
                <w:rFonts w:ascii="Vodafone Rg" w:hAnsi="Vodafone Rg" w:cs="Vodafone Rg"/>
                <w:lang w:val="en-US"/>
              </w:rPr>
            </w:pPr>
            <w:r w:rsidRPr="00BF280D">
              <w:rPr>
                <w:rFonts w:ascii="Vodafone Rg" w:hAnsi="Vodafone Rg" w:cs="Vodafone Rg"/>
                <w:b/>
                <w:bCs/>
                <w:lang w:val="en-US"/>
              </w:rPr>
              <w:t>Caribbean</w:t>
            </w:r>
          </w:p>
        </w:tc>
        <w:tc>
          <w:tcPr>
            <w:tcW w:w="7650" w:type="dxa"/>
            <w:vAlign w:val="center"/>
          </w:tcPr>
          <w:p w14:paraId="22FA649E" w14:textId="461D8F6D" w:rsidR="00BF280D" w:rsidRPr="00036D10" w:rsidRDefault="00BF280D" w:rsidP="00036D10">
            <w:pPr>
              <w:rPr>
                <w:rFonts w:ascii="Vodafone Rg" w:hAnsi="Vodafone Rg" w:cs="Vodafone Rg"/>
                <w:lang w:val="en-US"/>
              </w:rPr>
            </w:pPr>
            <w:r w:rsidRPr="00BF280D">
              <w:rPr>
                <w:rFonts w:ascii="Vodafone Rg" w:hAnsi="Vodafone Rg" w:cs="Vodafone Rg"/>
                <w:lang w:val="en-US"/>
              </w:rPr>
              <w:t xml:space="preserve">Anguilla, Aruba, Bermuda, Bonaire, British Virgin Islands, Cayman Islands, Curacao, </w:t>
            </w:r>
            <w:r w:rsidRPr="00036D10">
              <w:rPr>
                <w:rFonts w:ascii="Vodafone Rg" w:hAnsi="Vodafone Rg" w:cs="Vodafone Rg"/>
              </w:rPr>
              <w:t xml:space="preserve">Martinique, </w:t>
            </w:r>
            <w:r w:rsidRPr="00BF280D">
              <w:rPr>
                <w:rFonts w:ascii="Vodafone Rg" w:hAnsi="Vodafone Rg" w:cs="Vodafone Rg"/>
                <w:lang w:val="en-US"/>
              </w:rPr>
              <w:t>Montserrat, Turks and Caicos Islands</w:t>
            </w:r>
          </w:p>
        </w:tc>
        <w:tc>
          <w:tcPr>
            <w:tcW w:w="1345" w:type="dxa"/>
            <w:vAlign w:val="center"/>
          </w:tcPr>
          <w:p w14:paraId="7AF2CF19" w14:textId="6771B08F" w:rsidR="00BF280D" w:rsidRPr="00036D10" w:rsidRDefault="00C90629" w:rsidP="00036D10">
            <w:pPr>
              <w:jc w:val="center"/>
              <w:rPr>
                <w:rFonts w:ascii="Vodafone Rg" w:hAnsi="Vodafone Rg" w:cs="Vodafone Rg"/>
                <w:b/>
                <w:bCs/>
                <w:lang w:val="en-US"/>
              </w:rPr>
            </w:pPr>
            <w:r w:rsidRPr="00036D10">
              <w:rPr>
                <w:rFonts w:ascii="Vodafone Rg" w:hAnsi="Vodafone Rg" w:cs="Vodafone Rg"/>
                <w:b/>
                <w:bCs/>
                <w:lang w:val="en-US"/>
              </w:rPr>
              <w:t>10</w:t>
            </w:r>
          </w:p>
        </w:tc>
      </w:tr>
      <w:tr w:rsidR="00C90629" w:rsidRPr="00036D10" w14:paraId="47B3B4EC" w14:textId="77777777" w:rsidTr="00036D10">
        <w:tc>
          <w:tcPr>
            <w:tcW w:w="1705" w:type="dxa"/>
            <w:vAlign w:val="center"/>
          </w:tcPr>
          <w:p w14:paraId="2521C49D" w14:textId="6FF853B8" w:rsidR="00C90629" w:rsidRPr="00036D10" w:rsidRDefault="00C90629" w:rsidP="00036D10">
            <w:pPr>
              <w:rPr>
                <w:rFonts w:ascii="Vodafone Rg" w:hAnsi="Vodafone Rg" w:cs="Vodafone Rg"/>
                <w:b/>
                <w:bCs/>
                <w:lang w:val="en-US"/>
              </w:rPr>
            </w:pPr>
            <w:r w:rsidRPr="00BF280D">
              <w:rPr>
                <w:rFonts w:ascii="Vodafone Rg" w:hAnsi="Vodafone Rg" w:cs="Vodafone Rg"/>
                <w:b/>
                <w:bCs/>
                <w:lang w:val="en-US"/>
              </w:rPr>
              <w:t>North America</w:t>
            </w:r>
          </w:p>
        </w:tc>
        <w:tc>
          <w:tcPr>
            <w:tcW w:w="7650" w:type="dxa"/>
            <w:vAlign w:val="center"/>
          </w:tcPr>
          <w:p w14:paraId="1B80769B" w14:textId="6DBCD881" w:rsidR="00C90629" w:rsidRPr="00036D10" w:rsidRDefault="00C90629" w:rsidP="00036D10">
            <w:pPr>
              <w:rPr>
                <w:rFonts w:ascii="Vodafone Rg" w:hAnsi="Vodafone Rg" w:cs="Vodafone Rg"/>
                <w:lang w:val="en-US"/>
              </w:rPr>
            </w:pPr>
            <w:r w:rsidRPr="00BF280D">
              <w:rPr>
                <w:rFonts w:ascii="Vodafone Rg" w:hAnsi="Vodafone Rg" w:cs="Vodafone Rg"/>
                <w:lang w:val="en-US"/>
              </w:rPr>
              <w:t>Antigua, Bahamas, Barbados, Canada, Costa Rica, Dominica, Dominican Republic, El Salvador, Grenada, Guadeloupe, Guatemala, Haiti, Honduras, Jamaica, Mexico, Nicaragua, Panama, Puerto Rico, St. Kitts &amp; Nevis, St. Lucia, St. Vincent &amp; The Grenadines, Trinidad &amp; Tobago, USA</w:t>
            </w:r>
          </w:p>
        </w:tc>
        <w:tc>
          <w:tcPr>
            <w:tcW w:w="1345" w:type="dxa"/>
            <w:vAlign w:val="center"/>
          </w:tcPr>
          <w:p w14:paraId="2A52DB4C" w14:textId="30611ABC" w:rsidR="00C90629" w:rsidRPr="00036D10" w:rsidRDefault="00C90629" w:rsidP="00036D10">
            <w:pPr>
              <w:jc w:val="center"/>
              <w:rPr>
                <w:rFonts w:ascii="Vodafone Rg" w:hAnsi="Vodafone Rg" w:cs="Vodafone Rg"/>
                <w:b/>
                <w:bCs/>
                <w:lang w:val="en-US"/>
              </w:rPr>
            </w:pPr>
            <w:r w:rsidRPr="00036D10">
              <w:rPr>
                <w:rFonts w:ascii="Vodafone Rg" w:hAnsi="Vodafone Rg" w:cs="Vodafone Rg"/>
                <w:b/>
                <w:bCs/>
                <w:lang w:val="en-US"/>
              </w:rPr>
              <w:t>23</w:t>
            </w:r>
          </w:p>
        </w:tc>
      </w:tr>
      <w:tr w:rsidR="00C90629" w:rsidRPr="00036D10" w14:paraId="78F09514" w14:textId="77777777" w:rsidTr="00036D10">
        <w:tc>
          <w:tcPr>
            <w:tcW w:w="1705" w:type="dxa"/>
            <w:vAlign w:val="center"/>
          </w:tcPr>
          <w:p w14:paraId="6154E422" w14:textId="7581ADE5" w:rsidR="00C90629" w:rsidRPr="00036D10" w:rsidRDefault="00C90629" w:rsidP="00036D10">
            <w:pPr>
              <w:rPr>
                <w:rFonts w:ascii="Vodafone Rg" w:hAnsi="Vodafone Rg" w:cs="Vodafone Rg"/>
                <w:b/>
                <w:bCs/>
                <w:lang w:val="en-US"/>
              </w:rPr>
            </w:pPr>
            <w:r w:rsidRPr="00BF280D">
              <w:rPr>
                <w:rFonts w:ascii="Vodafone Rg" w:hAnsi="Vodafone Rg" w:cs="Vodafone Rg"/>
                <w:b/>
                <w:bCs/>
                <w:lang w:val="en-US"/>
              </w:rPr>
              <w:t>South America</w:t>
            </w:r>
          </w:p>
        </w:tc>
        <w:tc>
          <w:tcPr>
            <w:tcW w:w="7650" w:type="dxa"/>
            <w:vAlign w:val="center"/>
          </w:tcPr>
          <w:p w14:paraId="10C0E537" w14:textId="00CACC3F" w:rsidR="00C90629" w:rsidRPr="00036D10" w:rsidRDefault="00C90629" w:rsidP="00036D10">
            <w:pPr>
              <w:rPr>
                <w:rFonts w:ascii="Vodafone Rg" w:hAnsi="Vodafone Rg" w:cs="Vodafone Rg"/>
                <w:lang w:val="it-IT"/>
              </w:rPr>
            </w:pPr>
            <w:r w:rsidRPr="00BF280D">
              <w:rPr>
                <w:rFonts w:ascii="Vodafone Rg" w:hAnsi="Vodafone Rg" w:cs="Vodafone Rg"/>
                <w:lang w:val="it-IT"/>
              </w:rPr>
              <w:t>Argentina, Bolivia, Brazil, Chile, Colombia, Ecuador, French Guiana, Guyana, Paraguay, Peru, Suriname, Uruguay</w:t>
            </w:r>
          </w:p>
        </w:tc>
        <w:tc>
          <w:tcPr>
            <w:tcW w:w="1345" w:type="dxa"/>
            <w:vAlign w:val="center"/>
          </w:tcPr>
          <w:p w14:paraId="532621EE" w14:textId="27C8D519" w:rsidR="00C90629" w:rsidRPr="00036D10" w:rsidRDefault="00C90629" w:rsidP="00036D10">
            <w:pPr>
              <w:jc w:val="center"/>
              <w:rPr>
                <w:rFonts w:ascii="Vodafone Rg" w:hAnsi="Vodafone Rg" w:cs="Vodafone Rg"/>
                <w:b/>
                <w:bCs/>
                <w:lang w:val="it-IT"/>
              </w:rPr>
            </w:pPr>
            <w:r w:rsidRPr="00036D10">
              <w:rPr>
                <w:rFonts w:ascii="Vodafone Rg" w:hAnsi="Vodafone Rg" w:cs="Vodafone Rg"/>
                <w:b/>
                <w:bCs/>
                <w:lang w:val="it-IT"/>
              </w:rPr>
              <w:t>12</w:t>
            </w:r>
          </w:p>
        </w:tc>
      </w:tr>
      <w:tr w:rsidR="00C90629" w:rsidRPr="00036D10" w14:paraId="116D7024" w14:textId="77777777" w:rsidTr="00036D10">
        <w:tc>
          <w:tcPr>
            <w:tcW w:w="1705" w:type="dxa"/>
            <w:vAlign w:val="center"/>
          </w:tcPr>
          <w:p w14:paraId="54D92D01" w14:textId="2369585B" w:rsidR="00C90629" w:rsidRPr="00036D10" w:rsidRDefault="00C90629" w:rsidP="00036D10">
            <w:pPr>
              <w:rPr>
                <w:rFonts w:ascii="Vodafone Rg" w:hAnsi="Vodafone Rg" w:cs="Vodafone Rg"/>
                <w:b/>
                <w:bCs/>
                <w:lang w:val="en-US"/>
              </w:rPr>
            </w:pPr>
            <w:r w:rsidRPr="00036D10">
              <w:rPr>
                <w:rFonts w:ascii="Vodafone Rg" w:hAnsi="Vodafone Rg" w:cs="Vodafone Rg"/>
                <w:b/>
                <w:bCs/>
                <w:lang w:val="en-US"/>
              </w:rPr>
              <w:t>Oceania</w:t>
            </w:r>
          </w:p>
        </w:tc>
        <w:tc>
          <w:tcPr>
            <w:tcW w:w="7650" w:type="dxa"/>
            <w:vAlign w:val="center"/>
          </w:tcPr>
          <w:p w14:paraId="2AA07501" w14:textId="7F0A3844" w:rsidR="00C90629" w:rsidRPr="00036D10" w:rsidRDefault="00C90629" w:rsidP="00036D10">
            <w:pPr>
              <w:rPr>
                <w:rFonts w:ascii="Vodafone Rg" w:hAnsi="Vodafone Rg" w:cs="Vodafone Rg"/>
                <w:lang w:val="en-US"/>
              </w:rPr>
            </w:pPr>
            <w:r w:rsidRPr="00BF280D">
              <w:rPr>
                <w:rFonts w:ascii="Vodafone Rg" w:hAnsi="Vodafone Rg" w:cs="Vodafone Rg"/>
                <w:lang w:val="en-US"/>
              </w:rPr>
              <w:t>Australia, Fiji, French Polynesia, Nauru, New Zealand, Papua New Guinea, Samoa, Tonga, Vanuatu</w:t>
            </w:r>
          </w:p>
        </w:tc>
        <w:tc>
          <w:tcPr>
            <w:tcW w:w="1345" w:type="dxa"/>
            <w:vAlign w:val="center"/>
          </w:tcPr>
          <w:p w14:paraId="68B56195" w14:textId="0E44E07F" w:rsidR="00C90629" w:rsidRPr="00036D10" w:rsidRDefault="00C90629" w:rsidP="00036D10">
            <w:pPr>
              <w:jc w:val="center"/>
              <w:rPr>
                <w:rFonts w:ascii="Vodafone Rg" w:hAnsi="Vodafone Rg" w:cs="Vodafone Rg"/>
                <w:b/>
                <w:bCs/>
                <w:lang w:val="en-US"/>
              </w:rPr>
            </w:pPr>
            <w:r w:rsidRPr="00036D10">
              <w:rPr>
                <w:rFonts w:ascii="Vodafone Rg" w:hAnsi="Vodafone Rg" w:cs="Vodafone Rg"/>
                <w:b/>
                <w:bCs/>
                <w:lang w:val="en-US"/>
              </w:rPr>
              <w:t>9</w:t>
            </w:r>
          </w:p>
        </w:tc>
      </w:tr>
      <w:tr w:rsidR="00C90629" w:rsidRPr="00036D10" w14:paraId="4A123133" w14:textId="77777777" w:rsidTr="00036D10">
        <w:tc>
          <w:tcPr>
            <w:tcW w:w="1705" w:type="dxa"/>
            <w:vAlign w:val="center"/>
          </w:tcPr>
          <w:p w14:paraId="28CD32F8" w14:textId="6F437440" w:rsidR="00C90629" w:rsidRPr="00036D10" w:rsidRDefault="00C90629" w:rsidP="00036D10">
            <w:pPr>
              <w:rPr>
                <w:rFonts w:ascii="Vodafone Rg" w:hAnsi="Vodafone Rg" w:cs="Vodafone Rg"/>
                <w:b/>
                <w:bCs/>
                <w:lang w:val="en-US"/>
              </w:rPr>
            </w:pPr>
            <w:r w:rsidRPr="00036D10">
              <w:rPr>
                <w:rFonts w:ascii="Vodafone Rg" w:hAnsi="Vodafone Rg" w:cs="Vodafone Rg"/>
                <w:b/>
                <w:bCs/>
                <w:lang w:val="en-US"/>
              </w:rPr>
              <w:t>Arctic Region</w:t>
            </w:r>
          </w:p>
        </w:tc>
        <w:tc>
          <w:tcPr>
            <w:tcW w:w="7650" w:type="dxa"/>
            <w:vAlign w:val="center"/>
          </w:tcPr>
          <w:p w14:paraId="6329120F" w14:textId="0341E1FC" w:rsidR="00C90629" w:rsidRPr="00036D10" w:rsidRDefault="00C90629" w:rsidP="00036D10">
            <w:pPr>
              <w:rPr>
                <w:rFonts w:ascii="Vodafone Rg" w:hAnsi="Vodafone Rg" w:cs="Vodafone Rg"/>
                <w:lang w:val="en-US"/>
              </w:rPr>
            </w:pPr>
            <w:r w:rsidRPr="00036D10">
              <w:rPr>
                <w:rFonts w:ascii="Vodafone Rg" w:hAnsi="Vodafone Rg" w:cs="Vodafone Rg"/>
              </w:rPr>
              <w:t>Greenland</w:t>
            </w:r>
          </w:p>
        </w:tc>
        <w:tc>
          <w:tcPr>
            <w:tcW w:w="1345" w:type="dxa"/>
            <w:vAlign w:val="center"/>
          </w:tcPr>
          <w:p w14:paraId="39A6AB9B" w14:textId="46F8AA14" w:rsidR="00C90629" w:rsidRPr="00036D10" w:rsidRDefault="00C90629" w:rsidP="00036D10">
            <w:pPr>
              <w:jc w:val="center"/>
              <w:rPr>
                <w:rFonts w:ascii="Vodafone Rg" w:hAnsi="Vodafone Rg" w:cs="Vodafone Rg"/>
                <w:b/>
                <w:bCs/>
                <w:lang w:val="en-US"/>
              </w:rPr>
            </w:pPr>
            <w:r w:rsidRPr="00036D10">
              <w:rPr>
                <w:rFonts w:ascii="Vodafone Rg" w:hAnsi="Vodafone Rg" w:cs="Vodafone Rg"/>
                <w:b/>
                <w:bCs/>
                <w:lang w:val="en-US"/>
              </w:rPr>
              <w:t>1</w:t>
            </w:r>
          </w:p>
        </w:tc>
      </w:tr>
      <w:tr w:rsidR="00983764" w:rsidRPr="00036D10" w14:paraId="50C8BE64" w14:textId="77777777" w:rsidTr="00983764">
        <w:tc>
          <w:tcPr>
            <w:tcW w:w="9355" w:type="dxa"/>
            <w:gridSpan w:val="2"/>
            <w:shd w:val="clear" w:color="auto" w:fill="FFC000"/>
            <w:vAlign w:val="center"/>
          </w:tcPr>
          <w:p w14:paraId="49146A83" w14:textId="5B70F696" w:rsidR="00983764" w:rsidRPr="00983764" w:rsidRDefault="00983764" w:rsidP="00983764">
            <w:pPr>
              <w:jc w:val="center"/>
              <w:rPr>
                <w:rFonts w:ascii="Vodafone Rg" w:hAnsi="Vodafone Rg" w:cs="Vodafone Rg"/>
                <w:b/>
                <w:bCs/>
                <w:sz w:val="32"/>
                <w:szCs w:val="32"/>
              </w:rPr>
            </w:pPr>
            <w:r w:rsidRPr="00983764">
              <w:rPr>
                <w:rFonts w:ascii="Vodafone Rg" w:hAnsi="Vodafone Rg" w:cs="Vodafone Rg"/>
                <w:b/>
                <w:bCs/>
                <w:sz w:val="32"/>
                <w:szCs w:val="32"/>
              </w:rPr>
              <w:t>Total Number of Countries</w:t>
            </w:r>
          </w:p>
        </w:tc>
        <w:tc>
          <w:tcPr>
            <w:tcW w:w="1345" w:type="dxa"/>
            <w:shd w:val="clear" w:color="auto" w:fill="FFC000"/>
            <w:vAlign w:val="center"/>
          </w:tcPr>
          <w:p w14:paraId="2F46F8EF" w14:textId="70F6FEAA" w:rsidR="00983764" w:rsidRPr="00983764" w:rsidRDefault="00983764" w:rsidP="00036D10">
            <w:pPr>
              <w:jc w:val="center"/>
              <w:rPr>
                <w:rFonts w:ascii="Vodafone Rg" w:hAnsi="Vodafone Rg" w:cs="Vodafone Rg"/>
                <w:b/>
                <w:bCs/>
                <w:sz w:val="32"/>
                <w:szCs w:val="32"/>
                <w:lang w:val="en-US"/>
              </w:rPr>
            </w:pPr>
            <w:r w:rsidRPr="00983764">
              <w:rPr>
                <w:rFonts w:ascii="Vodafone Rg" w:hAnsi="Vodafone Rg" w:cs="Vodafone Rg"/>
                <w:b/>
                <w:bCs/>
                <w:sz w:val="32"/>
                <w:szCs w:val="32"/>
                <w:lang w:val="en-US"/>
              </w:rPr>
              <w:t>183</w:t>
            </w:r>
          </w:p>
        </w:tc>
      </w:tr>
    </w:tbl>
    <w:p w14:paraId="7E0BB2BB" w14:textId="0CA52E22" w:rsidR="00C90629" w:rsidRDefault="00C90629" w:rsidP="00BF280D">
      <w:pPr>
        <w:rPr>
          <w:lang w:val="en-US"/>
        </w:rPr>
      </w:pPr>
    </w:p>
    <w:p w14:paraId="37E77C6F" w14:textId="77777777" w:rsidR="00C90629" w:rsidRDefault="00C90629">
      <w:pPr>
        <w:spacing w:after="160" w:line="259" w:lineRule="auto"/>
        <w:rPr>
          <w:lang w:val="en-US"/>
        </w:rPr>
      </w:pPr>
      <w:r>
        <w:rPr>
          <w:lang w:val="en-US"/>
        </w:rPr>
        <w:br w:type="page"/>
      </w:r>
    </w:p>
    <w:p w14:paraId="547DCDF9" w14:textId="77777777" w:rsidR="00036D10" w:rsidRPr="00036D10" w:rsidRDefault="00036D10" w:rsidP="00036D10">
      <w:pPr>
        <w:bidi/>
        <w:rPr>
          <w:rFonts w:cs="GE SS Two Bold"/>
          <w:b/>
          <w:bCs/>
          <w:color w:val="C00000"/>
          <w:lang w:val="en-US"/>
        </w:rPr>
      </w:pPr>
      <w:r w:rsidRPr="00036D10">
        <w:rPr>
          <w:rFonts w:cs="GE SS Two Bold"/>
          <w:b/>
          <w:bCs/>
          <w:color w:val="C00000"/>
          <w:rtl/>
          <w:lang w:val="en-US"/>
        </w:rPr>
        <w:lastRenderedPageBreak/>
        <w:t>فودافون قطر</w:t>
      </w:r>
    </w:p>
    <w:p w14:paraId="5DBF39AD" w14:textId="77777777" w:rsidR="00983764" w:rsidRDefault="00983764" w:rsidP="00036D10">
      <w:pPr>
        <w:bidi/>
        <w:rPr>
          <w:rFonts w:cs="GE SS Two Light"/>
          <w:b/>
          <w:bCs/>
          <w:lang w:val="en-US"/>
        </w:rPr>
      </w:pPr>
    </w:p>
    <w:p w14:paraId="24ABED0F" w14:textId="44A4752F" w:rsidR="00C90629" w:rsidRDefault="00342853" w:rsidP="00342853">
      <w:pPr>
        <w:bidi/>
        <w:rPr>
          <w:rFonts w:cs="GE SS Two Light"/>
          <w:lang w:val="en-US"/>
        </w:rPr>
      </w:pPr>
      <w:r w:rsidRPr="00342853">
        <w:rPr>
          <w:rFonts w:cs="GE SS Two Light"/>
          <w:rtl/>
          <w:lang w:val="en-US"/>
        </w:rPr>
        <w:t xml:space="preserve">فيما يلي قائمة تضم </w:t>
      </w:r>
      <w:r w:rsidRPr="00960F2B">
        <w:rPr>
          <w:rFonts w:cs="GE SS Two Light"/>
          <w:b/>
          <w:bCs/>
          <w:color w:val="EE0000"/>
          <w:rtl/>
          <w:lang w:val="en-US"/>
        </w:rPr>
        <w:t>أكثر من 180</w:t>
      </w:r>
      <w:r w:rsidRPr="00960F2B">
        <w:rPr>
          <w:rFonts w:cs="GE SS Two Light"/>
          <w:color w:val="EE0000"/>
          <w:rtl/>
          <w:lang w:val="en-US"/>
        </w:rPr>
        <w:t xml:space="preserve"> </w:t>
      </w:r>
      <w:r w:rsidRPr="00342853">
        <w:rPr>
          <w:rFonts w:cs="GE SS Two Light"/>
          <w:rtl/>
          <w:lang w:val="en-US"/>
        </w:rPr>
        <w:t xml:space="preserve">دولة متضمنة </w:t>
      </w:r>
      <w:r w:rsidRPr="00960F2B">
        <w:rPr>
          <w:rFonts w:cs="GE SS Two Light"/>
          <w:b/>
          <w:bCs/>
          <w:color w:val="EE0000"/>
          <w:rtl/>
          <w:lang w:val="en-US"/>
        </w:rPr>
        <w:t>الدقائق الدولية</w:t>
      </w:r>
      <w:r w:rsidRPr="00960F2B">
        <w:rPr>
          <w:rFonts w:cs="GE SS Two Light"/>
          <w:color w:val="EE0000"/>
          <w:rtl/>
          <w:lang w:val="en-US"/>
        </w:rPr>
        <w:t xml:space="preserve"> </w:t>
      </w:r>
      <w:r w:rsidRPr="00342853">
        <w:rPr>
          <w:rFonts w:cs="GE SS Two Light"/>
          <w:rtl/>
          <w:lang w:val="en-US"/>
        </w:rPr>
        <w:t>ل</w:t>
      </w:r>
      <w:r w:rsidR="00511E20">
        <w:rPr>
          <w:rFonts w:cs="GE SS Two Light" w:hint="cs"/>
          <w:rtl/>
          <w:lang w:val="en-US"/>
        </w:rPr>
        <w:t>باقات</w:t>
      </w:r>
      <w:r w:rsidRPr="00342853">
        <w:rPr>
          <w:rFonts w:cs="GE SS Two Light"/>
          <w:lang w:val="en-US"/>
        </w:rPr>
        <w:t xml:space="preserve"> </w:t>
      </w:r>
      <w:r w:rsidRPr="00960F2B">
        <w:rPr>
          <w:rFonts w:cs="GE SS Two Light"/>
          <w:b/>
          <w:bCs/>
          <w:color w:val="EE0000"/>
          <w:lang w:val="en-US"/>
        </w:rPr>
        <w:t xml:space="preserve">Unlimited+ </w:t>
      </w:r>
      <w:r w:rsidRPr="00960F2B">
        <w:rPr>
          <w:rFonts w:cs="GE SS Two Light"/>
          <w:b/>
          <w:bCs/>
          <w:color w:val="EE0000"/>
          <w:rtl/>
          <w:lang w:val="en-US"/>
        </w:rPr>
        <w:t>الجديدة</w:t>
      </w:r>
      <w:r w:rsidRPr="00960F2B">
        <w:rPr>
          <w:rFonts w:cs="GE SS Two Light"/>
          <w:color w:val="EE0000"/>
          <w:rtl/>
          <w:lang w:val="en-US"/>
        </w:rPr>
        <w:t xml:space="preserve"> </w:t>
      </w:r>
      <w:r w:rsidRPr="00342853">
        <w:rPr>
          <w:rFonts w:cs="GE SS Two Light"/>
          <w:rtl/>
          <w:lang w:val="en-US"/>
        </w:rPr>
        <w:t>و</w:t>
      </w:r>
      <w:r w:rsidR="00511E20">
        <w:rPr>
          <w:rFonts w:cs="GE SS Two Light" w:hint="cs"/>
          <w:rtl/>
          <w:lang w:val="en-US"/>
        </w:rPr>
        <w:t xml:space="preserve"> باقات</w:t>
      </w:r>
      <w:r w:rsidRPr="00342853">
        <w:rPr>
          <w:rFonts w:cs="GE SS Two Light"/>
          <w:lang w:val="en-US"/>
        </w:rPr>
        <w:t xml:space="preserve"> </w:t>
      </w:r>
      <w:r w:rsidRPr="00960F2B">
        <w:rPr>
          <w:rFonts w:cs="GE SS Two Light"/>
          <w:b/>
          <w:bCs/>
          <w:color w:val="EE0000"/>
          <w:lang w:val="en-US"/>
        </w:rPr>
        <w:t xml:space="preserve">Postpaid+ </w:t>
      </w:r>
      <w:r w:rsidR="00960F2B" w:rsidRPr="00960F2B">
        <w:rPr>
          <w:rFonts w:cs="GE SS Two Light" w:hint="cs"/>
          <w:b/>
          <w:bCs/>
          <w:color w:val="EE0000"/>
          <w:rtl/>
          <w:lang w:val="en-US"/>
        </w:rPr>
        <w:t xml:space="preserve"> </w:t>
      </w:r>
      <w:r w:rsidRPr="00960F2B">
        <w:rPr>
          <w:rFonts w:cs="GE SS Two Light"/>
          <w:b/>
          <w:bCs/>
          <w:color w:val="EE0000"/>
          <w:rtl/>
          <w:lang w:val="en-US"/>
        </w:rPr>
        <w:t>الجديدة</w:t>
      </w:r>
      <w:r w:rsidRPr="00342853">
        <w:rPr>
          <w:rFonts w:cs="GE SS Two Light"/>
          <w:lang w:val="en-US"/>
        </w:rPr>
        <w:t>.</w:t>
      </w:r>
    </w:p>
    <w:p w14:paraId="7D080043" w14:textId="77777777" w:rsidR="00342853" w:rsidRDefault="00342853" w:rsidP="00342853">
      <w:pPr>
        <w:bidi/>
        <w:rPr>
          <w:lang w:val="en-US"/>
        </w:rPr>
      </w:pPr>
    </w:p>
    <w:tbl>
      <w:tblPr>
        <w:tblStyle w:val="TableGrid"/>
        <w:tblW w:w="0" w:type="auto"/>
        <w:tblLook w:val="04A0" w:firstRow="1" w:lastRow="0" w:firstColumn="1" w:lastColumn="0" w:noHBand="0" w:noVBand="1"/>
      </w:tblPr>
      <w:tblGrid>
        <w:gridCol w:w="1165"/>
        <w:gridCol w:w="7470"/>
        <w:gridCol w:w="2065"/>
      </w:tblGrid>
      <w:tr w:rsidR="00C90629" w:rsidRPr="00983764" w14:paraId="46D051DE" w14:textId="77777777" w:rsidTr="00036D10">
        <w:tc>
          <w:tcPr>
            <w:tcW w:w="1165" w:type="dxa"/>
            <w:shd w:val="clear" w:color="auto" w:fill="C00000"/>
          </w:tcPr>
          <w:p w14:paraId="5F3E5480" w14:textId="78C760BE" w:rsidR="00C90629" w:rsidRPr="00983764" w:rsidRDefault="00036D10" w:rsidP="00036D10">
            <w:pPr>
              <w:bidi/>
              <w:rPr>
                <w:rFonts w:cs="GE SS Two Bold"/>
                <w:sz w:val="28"/>
                <w:szCs w:val="28"/>
                <w:lang w:val="en-US"/>
              </w:rPr>
            </w:pPr>
            <w:r w:rsidRPr="00983764">
              <w:rPr>
                <w:rFonts w:cs="GE SS Two Bold"/>
                <w:sz w:val="28"/>
                <w:szCs w:val="28"/>
                <w:rtl/>
                <w:lang w:val="en-US"/>
              </w:rPr>
              <w:t>الإجمالي</w:t>
            </w:r>
          </w:p>
        </w:tc>
        <w:tc>
          <w:tcPr>
            <w:tcW w:w="7470" w:type="dxa"/>
            <w:shd w:val="clear" w:color="auto" w:fill="C00000"/>
          </w:tcPr>
          <w:p w14:paraId="753C89DD" w14:textId="7A35C4B3" w:rsidR="00C90629" w:rsidRPr="00983764" w:rsidRDefault="00036D10" w:rsidP="00036D10">
            <w:pPr>
              <w:bidi/>
              <w:rPr>
                <w:rFonts w:cs="GE SS Two Bold"/>
                <w:sz w:val="28"/>
                <w:szCs w:val="28"/>
                <w:lang w:val="en-US"/>
              </w:rPr>
            </w:pPr>
            <w:r w:rsidRPr="00983764">
              <w:rPr>
                <w:rFonts w:cs="GE SS Two Bold"/>
                <w:sz w:val="28"/>
                <w:szCs w:val="28"/>
                <w:rtl/>
                <w:lang w:val="en-US"/>
              </w:rPr>
              <w:t>الدول المدرجة</w:t>
            </w:r>
          </w:p>
        </w:tc>
        <w:tc>
          <w:tcPr>
            <w:tcW w:w="2065" w:type="dxa"/>
            <w:shd w:val="clear" w:color="auto" w:fill="C00000"/>
          </w:tcPr>
          <w:p w14:paraId="2E81DB8C" w14:textId="7711A9C3" w:rsidR="00C90629" w:rsidRPr="00983764" w:rsidRDefault="00036D10" w:rsidP="00036D10">
            <w:pPr>
              <w:bidi/>
              <w:rPr>
                <w:rFonts w:cs="GE SS Two Bold"/>
                <w:sz w:val="28"/>
                <w:szCs w:val="28"/>
                <w:lang w:val="en-US"/>
              </w:rPr>
            </w:pPr>
            <w:r w:rsidRPr="00983764">
              <w:rPr>
                <w:rFonts w:cs="GE SS Two Bold"/>
                <w:sz w:val="28"/>
                <w:szCs w:val="28"/>
                <w:rtl/>
                <w:lang w:val="en-US"/>
              </w:rPr>
              <w:t>المنطقة</w:t>
            </w:r>
          </w:p>
        </w:tc>
      </w:tr>
      <w:tr w:rsidR="00C90629" w:rsidRPr="00C90629" w14:paraId="36EA7F04" w14:textId="77777777" w:rsidTr="00036D10">
        <w:tc>
          <w:tcPr>
            <w:tcW w:w="1165" w:type="dxa"/>
            <w:vAlign w:val="center"/>
          </w:tcPr>
          <w:p w14:paraId="40E17A7B" w14:textId="203A49EC" w:rsidR="00C90629" w:rsidRPr="00036D10" w:rsidRDefault="00C90629" w:rsidP="00036D10">
            <w:pPr>
              <w:bidi/>
              <w:jc w:val="center"/>
              <w:rPr>
                <w:rFonts w:cs="GE SS Two Bold"/>
                <w:b/>
                <w:bCs/>
                <w:lang w:val="en-US"/>
              </w:rPr>
            </w:pPr>
            <w:r w:rsidRPr="00BF280D">
              <w:rPr>
                <w:b/>
                <w:bCs/>
                <w:lang w:val="en-US"/>
              </w:rPr>
              <w:t>4</w:t>
            </w:r>
            <w:r w:rsidRPr="00036D10">
              <w:rPr>
                <w:b/>
                <w:bCs/>
                <w:lang w:val="en-US"/>
              </w:rPr>
              <w:t>2</w:t>
            </w:r>
          </w:p>
        </w:tc>
        <w:tc>
          <w:tcPr>
            <w:tcW w:w="7470" w:type="dxa"/>
            <w:vAlign w:val="center"/>
          </w:tcPr>
          <w:p w14:paraId="25248971" w14:textId="0881A92F" w:rsidR="00C90629" w:rsidRPr="00036D10" w:rsidRDefault="00C90629" w:rsidP="00036D10">
            <w:pPr>
              <w:bidi/>
              <w:rPr>
                <w:rFonts w:ascii="GE SS Two" w:hAnsi="GE SS Two" w:cs="GE SS Two Light" w:hint="eastAsia"/>
                <w:sz w:val="22"/>
                <w:szCs w:val="22"/>
                <w:lang w:val="en-US"/>
              </w:rPr>
            </w:pPr>
            <w:r w:rsidRPr="00C90629">
              <w:rPr>
                <w:rFonts w:ascii="GE SS Two" w:hAnsi="GE SS Two" w:cs="GE SS Two Light"/>
                <w:sz w:val="22"/>
                <w:szCs w:val="22"/>
                <w:rtl/>
                <w:lang w:val="en-US"/>
              </w:rPr>
              <w:t>أفغانستان, أرمينيا, أذربيجان, البحرين, بنغلاديش, بروناي, كمبوديا, الصين, جورجيا, هونغ كونغ, الهند, إندونيسيا, إيران, العراق, اليابان, الأردن, كازاخستان, الكويت, قيرغيزستان, لاوس, لبنان, ماكاو, ماليزيا, المالديف, منغوليا, ميانمار, نيبال, عُمان, باكستان, فلسطين, الفلبين, المملكة العربية السعودية, سنغافورة, كوريا الجنوبية, سريلانكا, تايوان, طاجيكستان, تايلاند, تركيا, الإمارات العربية المتحدة, أوزبكستان, فيتنام</w:t>
            </w:r>
          </w:p>
        </w:tc>
        <w:tc>
          <w:tcPr>
            <w:tcW w:w="2065" w:type="dxa"/>
            <w:vAlign w:val="center"/>
          </w:tcPr>
          <w:p w14:paraId="05B975D7" w14:textId="0706B2B9" w:rsidR="00C90629" w:rsidRPr="00036D10" w:rsidRDefault="00C90629" w:rsidP="00036D10">
            <w:pPr>
              <w:bidi/>
              <w:rPr>
                <w:rFonts w:cs="GE SS Two Bold"/>
                <w:b/>
                <w:bCs/>
                <w:lang w:val="en-US"/>
              </w:rPr>
            </w:pPr>
            <w:r w:rsidRPr="00C90629">
              <w:rPr>
                <w:rFonts w:cs="GE SS Two Bold"/>
                <w:b/>
                <w:bCs/>
                <w:rtl/>
                <w:lang w:val="en-US"/>
              </w:rPr>
              <w:t>آسيا</w:t>
            </w:r>
          </w:p>
        </w:tc>
      </w:tr>
      <w:tr w:rsidR="00C90629" w:rsidRPr="00C90629" w14:paraId="7B15DC1D" w14:textId="77777777" w:rsidTr="00036D10">
        <w:tc>
          <w:tcPr>
            <w:tcW w:w="1165" w:type="dxa"/>
            <w:vAlign w:val="center"/>
          </w:tcPr>
          <w:p w14:paraId="5D1781FC" w14:textId="6D73E7DC" w:rsidR="00C90629" w:rsidRPr="00036D10" w:rsidRDefault="00C90629" w:rsidP="00036D10">
            <w:pPr>
              <w:bidi/>
              <w:jc w:val="center"/>
              <w:rPr>
                <w:rFonts w:cs="GE SS Two Bold"/>
                <w:b/>
                <w:bCs/>
                <w:lang w:val="en-US"/>
              </w:rPr>
            </w:pPr>
            <w:r w:rsidRPr="00036D10">
              <w:rPr>
                <w:b/>
                <w:bCs/>
                <w:lang w:val="en-US"/>
              </w:rPr>
              <w:t>48</w:t>
            </w:r>
          </w:p>
        </w:tc>
        <w:tc>
          <w:tcPr>
            <w:tcW w:w="7470" w:type="dxa"/>
            <w:vAlign w:val="center"/>
          </w:tcPr>
          <w:p w14:paraId="69E28FF7" w14:textId="71441443" w:rsidR="00C90629" w:rsidRPr="00036D10" w:rsidRDefault="00C90629" w:rsidP="00036D10">
            <w:pPr>
              <w:bidi/>
              <w:rPr>
                <w:rFonts w:ascii="GE SS Two" w:hAnsi="GE SS Two" w:cs="GE SS Two Light" w:hint="eastAsia"/>
                <w:sz w:val="22"/>
                <w:szCs w:val="22"/>
                <w:lang w:val="en-US"/>
              </w:rPr>
            </w:pPr>
            <w:r w:rsidRPr="00C90629">
              <w:rPr>
                <w:rFonts w:ascii="GE SS Two" w:hAnsi="GE SS Two" w:cs="GE SS Two Light"/>
                <w:sz w:val="22"/>
                <w:szCs w:val="22"/>
                <w:rtl/>
                <w:lang w:val="en-US"/>
              </w:rPr>
              <w:t>ألبانيا, أندورا, النمسا, بيلاروس, بلجيكا, البوسنة والهرسك, بلغاريا, كرواتيا, قبرص, جمهورية التشيك, الدنمارك, إستونيا, جزر فارو, فنلندا, فرنسا, ألمانيا, جبل طارق, اليونان, غيرنسي, المجر, آيسلندا, أيرلندا, جزيرة مان, إيطاليا, جيرزي, لاتفيا, ليختنشتاين, ليتوانيا, لوكسمبورغ, مقدونيا الشمالية, مالطا, مولدوفا, موناكو, الجبل الأسود, هولندا, النرويج, بولندا, البرتغال, رومانيا, روسيا, صربيا, سلوفاكيا, سلوفينيا, إسبانيا, السويد, سويسرا, المملكة المتحدة, أوكرانيا</w:t>
            </w:r>
          </w:p>
        </w:tc>
        <w:tc>
          <w:tcPr>
            <w:tcW w:w="2065" w:type="dxa"/>
            <w:vAlign w:val="center"/>
          </w:tcPr>
          <w:p w14:paraId="33B9D464" w14:textId="12704C09" w:rsidR="00C90629" w:rsidRPr="00036D10" w:rsidRDefault="00C90629" w:rsidP="00036D10">
            <w:pPr>
              <w:bidi/>
              <w:rPr>
                <w:rFonts w:cs="GE SS Two Bold"/>
                <w:b/>
                <w:bCs/>
                <w:lang w:val="en-US"/>
              </w:rPr>
            </w:pPr>
            <w:r w:rsidRPr="00C90629">
              <w:rPr>
                <w:rFonts w:cs="GE SS Two Bold"/>
                <w:b/>
                <w:bCs/>
                <w:rtl/>
                <w:lang w:val="en-US"/>
              </w:rPr>
              <w:t>أوروبا</w:t>
            </w:r>
          </w:p>
        </w:tc>
      </w:tr>
      <w:tr w:rsidR="00C90629" w:rsidRPr="00C90629" w14:paraId="7728988B" w14:textId="77777777" w:rsidTr="00036D10">
        <w:tc>
          <w:tcPr>
            <w:tcW w:w="1165" w:type="dxa"/>
            <w:vAlign w:val="center"/>
          </w:tcPr>
          <w:p w14:paraId="10AA31EF" w14:textId="27795BE0" w:rsidR="00C90629" w:rsidRPr="00036D10" w:rsidRDefault="00C90629" w:rsidP="00036D10">
            <w:pPr>
              <w:bidi/>
              <w:jc w:val="center"/>
              <w:rPr>
                <w:rFonts w:cs="GE SS Two Bold"/>
                <w:b/>
                <w:bCs/>
                <w:lang w:val="en-US"/>
              </w:rPr>
            </w:pPr>
            <w:r w:rsidRPr="00036D10">
              <w:rPr>
                <w:b/>
                <w:bCs/>
                <w:lang w:val="en-US"/>
              </w:rPr>
              <w:t>38</w:t>
            </w:r>
          </w:p>
        </w:tc>
        <w:tc>
          <w:tcPr>
            <w:tcW w:w="7470" w:type="dxa"/>
            <w:vAlign w:val="center"/>
          </w:tcPr>
          <w:p w14:paraId="6C4A58CA" w14:textId="5BCA4447" w:rsidR="00C90629" w:rsidRPr="00036D10" w:rsidRDefault="00C90629" w:rsidP="00036D10">
            <w:pPr>
              <w:bidi/>
              <w:rPr>
                <w:rFonts w:ascii="GE SS Two" w:hAnsi="GE SS Two" w:cs="GE SS Two Light" w:hint="eastAsia"/>
                <w:sz w:val="22"/>
                <w:szCs w:val="22"/>
                <w:lang w:val="en-US"/>
              </w:rPr>
            </w:pPr>
            <w:r w:rsidRPr="00C90629">
              <w:rPr>
                <w:rFonts w:ascii="GE SS Two" w:hAnsi="GE SS Two" w:cs="GE SS Two Light"/>
                <w:sz w:val="22"/>
                <w:szCs w:val="22"/>
                <w:rtl/>
                <w:lang w:val="en-US"/>
              </w:rPr>
              <w:t>الجزائر, بنين, بوتسوانا, بوركينا فاسو, الكاميرون, الرأس الأخضر, تشاد, ساحل العاج, جمهورية الكونغو الديمقراطية, مصر, إثيوبيا, غانا, غينيا, غينيا بيساو, كينيا, ليسوتو, ليبيريا, مدغشقر, ملاوي, مالي, موريشيوس, المغرب, موزمبيق, نيجيريا, جمهورية الكونغو, رواندا, السنغال, سيشل, سيراليون, جنوب أفريقيا, جنوب السودان, السودان, إسواتيني (سوازيلاند), تنزانيا, تونس, أوغندا, زامبيا, زيمبابوي</w:t>
            </w:r>
          </w:p>
        </w:tc>
        <w:tc>
          <w:tcPr>
            <w:tcW w:w="2065" w:type="dxa"/>
            <w:vAlign w:val="center"/>
          </w:tcPr>
          <w:p w14:paraId="7B3D3BB5" w14:textId="26B461FC" w:rsidR="00C90629" w:rsidRPr="00036D10" w:rsidRDefault="00C90629" w:rsidP="00036D10">
            <w:pPr>
              <w:bidi/>
              <w:rPr>
                <w:rFonts w:cs="GE SS Two Bold"/>
                <w:b/>
                <w:bCs/>
                <w:lang w:val="en-US"/>
              </w:rPr>
            </w:pPr>
            <w:r w:rsidRPr="00C90629">
              <w:rPr>
                <w:rFonts w:cs="GE SS Two Bold"/>
                <w:b/>
                <w:bCs/>
                <w:rtl/>
                <w:lang w:val="en-US"/>
              </w:rPr>
              <w:t>أفريقيا</w:t>
            </w:r>
          </w:p>
        </w:tc>
      </w:tr>
      <w:tr w:rsidR="00C90629" w:rsidRPr="00C90629" w14:paraId="4D16E0FD" w14:textId="77777777" w:rsidTr="00036D10">
        <w:tc>
          <w:tcPr>
            <w:tcW w:w="1165" w:type="dxa"/>
            <w:vAlign w:val="center"/>
          </w:tcPr>
          <w:p w14:paraId="6B710E32" w14:textId="56D8E95B" w:rsidR="00C90629" w:rsidRPr="00036D10" w:rsidRDefault="00C90629" w:rsidP="00036D10">
            <w:pPr>
              <w:bidi/>
              <w:jc w:val="center"/>
              <w:rPr>
                <w:rFonts w:cs="GE SS Two Bold"/>
                <w:b/>
                <w:bCs/>
                <w:lang w:val="en-US"/>
              </w:rPr>
            </w:pPr>
            <w:r w:rsidRPr="00036D10">
              <w:rPr>
                <w:b/>
                <w:bCs/>
                <w:lang w:val="en-US"/>
              </w:rPr>
              <w:t>10</w:t>
            </w:r>
          </w:p>
        </w:tc>
        <w:tc>
          <w:tcPr>
            <w:tcW w:w="7470" w:type="dxa"/>
            <w:vAlign w:val="center"/>
          </w:tcPr>
          <w:p w14:paraId="6B3A7E2F" w14:textId="79AA2E08" w:rsidR="00C90629" w:rsidRPr="00036D10" w:rsidRDefault="00C90629" w:rsidP="00036D10">
            <w:pPr>
              <w:bidi/>
              <w:rPr>
                <w:rFonts w:ascii="GE SS Two" w:hAnsi="GE SS Two" w:cs="GE SS Two Light" w:hint="eastAsia"/>
                <w:sz w:val="22"/>
                <w:szCs w:val="22"/>
                <w:lang w:val="en-US"/>
              </w:rPr>
            </w:pPr>
            <w:r w:rsidRPr="00C90629">
              <w:rPr>
                <w:rFonts w:ascii="GE SS Two" w:hAnsi="GE SS Two" w:cs="GE SS Two Light"/>
                <w:sz w:val="22"/>
                <w:szCs w:val="22"/>
                <w:rtl/>
                <w:lang w:val="en-US"/>
              </w:rPr>
              <w:t>أنغيلا, أروبا, برمودا, بونير, جزر العذراء البريطانية, جزر كايمان, كوراساو, مارتينيك, مونتسيرات, جزر توركس وكايكوس</w:t>
            </w:r>
          </w:p>
        </w:tc>
        <w:tc>
          <w:tcPr>
            <w:tcW w:w="2065" w:type="dxa"/>
            <w:vAlign w:val="center"/>
          </w:tcPr>
          <w:p w14:paraId="3E07D22D" w14:textId="2225A2E8" w:rsidR="00C90629" w:rsidRPr="00036D10" w:rsidRDefault="00C90629" w:rsidP="00036D10">
            <w:pPr>
              <w:bidi/>
              <w:rPr>
                <w:rFonts w:cs="GE SS Two Bold"/>
                <w:b/>
                <w:bCs/>
                <w:lang w:val="en-US"/>
              </w:rPr>
            </w:pPr>
            <w:r w:rsidRPr="00C90629">
              <w:rPr>
                <w:rFonts w:cs="GE SS Two Bold"/>
                <w:b/>
                <w:bCs/>
                <w:rtl/>
                <w:lang w:val="en-US"/>
              </w:rPr>
              <w:t>الكاريبي</w:t>
            </w:r>
          </w:p>
        </w:tc>
      </w:tr>
      <w:tr w:rsidR="00C90629" w:rsidRPr="00C90629" w14:paraId="38F6E8FC" w14:textId="77777777" w:rsidTr="00036D10">
        <w:tc>
          <w:tcPr>
            <w:tcW w:w="1165" w:type="dxa"/>
            <w:vAlign w:val="center"/>
          </w:tcPr>
          <w:p w14:paraId="01C21F2F" w14:textId="0D5C484D" w:rsidR="00C90629" w:rsidRPr="00036D10" w:rsidRDefault="00C90629" w:rsidP="00036D10">
            <w:pPr>
              <w:bidi/>
              <w:jc w:val="center"/>
              <w:rPr>
                <w:rFonts w:cs="GE SS Two Bold"/>
                <w:b/>
                <w:bCs/>
                <w:lang w:val="en-US"/>
              </w:rPr>
            </w:pPr>
            <w:r w:rsidRPr="00036D10">
              <w:rPr>
                <w:b/>
                <w:bCs/>
                <w:lang w:val="en-US"/>
              </w:rPr>
              <w:t>23</w:t>
            </w:r>
          </w:p>
        </w:tc>
        <w:tc>
          <w:tcPr>
            <w:tcW w:w="7470" w:type="dxa"/>
            <w:vAlign w:val="center"/>
          </w:tcPr>
          <w:p w14:paraId="0F32F650" w14:textId="10B4EBBC" w:rsidR="00C90629" w:rsidRPr="00036D10" w:rsidRDefault="00C90629" w:rsidP="00036D10">
            <w:pPr>
              <w:bidi/>
              <w:rPr>
                <w:rFonts w:ascii="GE SS Two" w:hAnsi="GE SS Two" w:cs="GE SS Two Light" w:hint="eastAsia"/>
                <w:sz w:val="22"/>
                <w:szCs w:val="22"/>
                <w:lang w:val="en-US"/>
              </w:rPr>
            </w:pPr>
            <w:r w:rsidRPr="00C90629">
              <w:rPr>
                <w:rFonts w:ascii="GE SS Two" w:hAnsi="GE SS Two" w:cs="GE SS Two Light"/>
                <w:sz w:val="22"/>
                <w:szCs w:val="22"/>
                <w:rtl/>
                <w:lang w:val="en-US"/>
              </w:rPr>
              <w:t>أنتيغوا, جزر البهاما, باربادوس, كندا, كوستاريكا, دومينيكا, جمهورية الدومينيكان, السلفادور, غرينادا, غوادلوب, غواتيمالا, هايتي, هندوراس, جامايكا, المكسيك, نيكاراغوا, بنما, بورتو ريكو, سانت كيتس ونيفيس, سانت لوسيا, سانت فنسنت وجزر غرينادين, ترينيداد وتوباغو, الولايات المتحدة الأمريكية</w:t>
            </w:r>
          </w:p>
        </w:tc>
        <w:tc>
          <w:tcPr>
            <w:tcW w:w="2065" w:type="dxa"/>
            <w:vAlign w:val="center"/>
          </w:tcPr>
          <w:p w14:paraId="3120234C" w14:textId="5FA8F7EC" w:rsidR="00C90629" w:rsidRPr="00036D10" w:rsidRDefault="00C90629" w:rsidP="00036D10">
            <w:pPr>
              <w:bidi/>
              <w:rPr>
                <w:rFonts w:cs="GE SS Two Bold"/>
                <w:b/>
                <w:bCs/>
                <w:lang w:val="en-US"/>
              </w:rPr>
            </w:pPr>
            <w:r w:rsidRPr="00C90629">
              <w:rPr>
                <w:rFonts w:cs="GE SS Two Bold"/>
                <w:b/>
                <w:bCs/>
                <w:rtl/>
                <w:lang w:val="en-US"/>
              </w:rPr>
              <w:t>أمريكا الشمالية</w:t>
            </w:r>
          </w:p>
        </w:tc>
      </w:tr>
      <w:tr w:rsidR="00C90629" w:rsidRPr="00C90629" w14:paraId="180B6E22" w14:textId="77777777" w:rsidTr="00036D10">
        <w:tc>
          <w:tcPr>
            <w:tcW w:w="1165" w:type="dxa"/>
            <w:vAlign w:val="center"/>
          </w:tcPr>
          <w:p w14:paraId="7354E53C" w14:textId="60E791D9" w:rsidR="00C90629" w:rsidRPr="00036D10" w:rsidRDefault="00C90629" w:rsidP="00036D10">
            <w:pPr>
              <w:bidi/>
              <w:jc w:val="center"/>
              <w:rPr>
                <w:rFonts w:cs="GE SS Two Bold"/>
                <w:b/>
                <w:bCs/>
                <w:lang w:val="en-US"/>
              </w:rPr>
            </w:pPr>
            <w:r w:rsidRPr="00036D10">
              <w:rPr>
                <w:b/>
                <w:bCs/>
                <w:lang w:val="it-IT"/>
              </w:rPr>
              <w:t>12</w:t>
            </w:r>
          </w:p>
        </w:tc>
        <w:tc>
          <w:tcPr>
            <w:tcW w:w="7470" w:type="dxa"/>
            <w:vAlign w:val="center"/>
          </w:tcPr>
          <w:p w14:paraId="1AEB18E6" w14:textId="07C44479" w:rsidR="00C90629" w:rsidRPr="00036D10" w:rsidRDefault="00C90629" w:rsidP="00036D10">
            <w:pPr>
              <w:bidi/>
              <w:rPr>
                <w:rFonts w:ascii="GE SS Two" w:hAnsi="GE SS Two" w:cs="GE SS Two Light" w:hint="eastAsia"/>
                <w:sz w:val="22"/>
                <w:szCs w:val="22"/>
                <w:lang w:val="en-US"/>
              </w:rPr>
            </w:pPr>
            <w:r w:rsidRPr="00C90629">
              <w:rPr>
                <w:rFonts w:ascii="GE SS Two" w:hAnsi="GE SS Two" w:cs="GE SS Two Light"/>
                <w:sz w:val="22"/>
                <w:szCs w:val="22"/>
                <w:rtl/>
                <w:lang w:val="en-US"/>
              </w:rPr>
              <w:t>الأرجنتين, بوليفيا, البرازيل, تشيلي, كولومبيا, الإكوادور, غويانا الفرنسية, غيانا, باراغواي, بيرو, سورينام, الأوروغواي</w:t>
            </w:r>
          </w:p>
        </w:tc>
        <w:tc>
          <w:tcPr>
            <w:tcW w:w="2065" w:type="dxa"/>
            <w:vAlign w:val="center"/>
          </w:tcPr>
          <w:p w14:paraId="4826EAD3" w14:textId="7101AD49" w:rsidR="00C90629" w:rsidRPr="00036D10" w:rsidRDefault="00C90629" w:rsidP="00036D10">
            <w:pPr>
              <w:bidi/>
              <w:rPr>
                <w:rFonts w:cs="GE SS Two Bold"/>
                <w:b/>
                <w:bCs/>
                <w:lang w:val="it-IT"/>
              </w:rPr>
            </w:pPr>
            <w:r w:rsidRPr="00C90629">
              <w:rPr>
                <w:rFonts w:cs="GE SS Two Bold"/>
                <w:b/>
                <w:bCs/>
                <w:rtl/>
                <w:lang w:val="en-US"/>
              </w:rPr>
              <w:t>أمريكا الجنوبية</w:t>
            </w:r>
          </w:p>
        </w:tc>
      </w:tr>
      <w:tr w:rsidR="00C90629" w:rsidRPr="00C90629" w14:paraId="791131C1" w14:textId="77777777" w:rsidTr="00036D10">
        <w:tc>
          <w:tcPr>
            <w:tcW w:w="1165" w:type="dxa"/>
            <w:vAlign w:val="center"/>
          </w:tcPr>
          <w:p w14:paraId="098CBACA" w14:textId="7209106E" w:rsidR="00C90629" w:rsidRPr="00036D10" w:rsidRDefault="00C90629" w:rsidP="00036D10">
            <w:pPr>
              <w:bidi/>
              <w:jc w:val="center"/>
              <w:rPr>
                <w:rFonts w:cs="GE SS Two Bold"/>
                <w:b/>
                <w:bCs/>
                <w:lang w:val="en-US"/>
              </w:rPr>
            </w:pPr>
            <w:r w:rsidRPr="00036D10">
              <w:rPr>
                <w:b/>
                <w:bCs/>
                <w:lang w:val="en-US"/>
              </w:rPr>
              <w:t>9</w:t>
            </w:r>
          </w:p>
        </w:tc>
        <w:tc>
          <w:tcPr>
            <w:tcW w:w="7470" w:type="dxa"/>
            <w:vAlign w:val="center"/>
          </w:tcPr>
          <w:p w14:paraId="76E67FD7" w14:textId="0F8379C7" w:rsidR="00C90629" w:rsidRPr="00036D10" w:rsidRDefault="00C90629" w:rsidP="00036D10">
            <w:pPr>
              <w:bidi/>
              <w:rPr>
                <w:rFonts w:ascii="GE SS Two" w:hAnsi="GE SS Two" w:cs="GE SS Two Light" w:hint="eastAsia"/>
                <w:sz w:val="22"/>
                <w:szCs w:val="22"/>
                <w:lang w:val="en-US"/>
              </w:rPr>
            </w:pPr>
            <w:r w:rsidRPr="00C90629">
              <w:rPr>
                <w:rFonts w:ascii="GE SS Two" w:hAnsi="GE SS Two" w:cs="GE SS Two Light"/>
                <w:sz w:val="22"/>
                <w:szCs w:val="22"/>
                <w:rtl/>
                <w:lang w:val="en-US"/>
              </w:rPr>
              <w:t>أستراليا, فيجي, بولينيزيا الفرنسية, ناورو, نيوزيلندا, بابوا غينيا الجديدة, ساموا, تونغا, فانواتو</w:t>
            </w:r>
          </w:p>
        </w:tc>
        <w:tc>
          <w:tcPr>
            <w:tcW w:w="2065" w:type="dxa"/>
            <w:vAlign w:val="center"/>
          </w:tcPr>
          <w:p w14:paraId="03C35E9C" w14:textId="6D8D8A26" w:rsidR="00C90629" w:rsidRPr="00036D10" w:rsidRDefault="00C90629" w:rsidP="00036D10">
            <w:pPr>
              <w:bidi/>
              <w:rPr>
                <w:rFonts w:cs="GE SS Two Bold"/>
                <w:b/>
                <w:bCs/>
                <w:lang w:val="en-US"/>
              </w:rPr>
            </w:pPr>
            <w:r w:rsidRPr="00C90629">
              <w:rPr>
                <w:rFonts w:cs="GE SS Two Bold"/>
                <w:b/>
                <w:bCs/>
                <w:rtl/>
                <w:lang w:val="en-US"/>
              </w:rPr>
              <w:t>أوقيانوسيا</w:t>
            </w:r>
          </w:p>
        </w:tc>
      </w:tr>
      <w:tr w:rsidR="00C90629" w:rsidRPr="00C90629" w14:paraId="43B8AC53" w14:textId="77777777" w:rsidTr="00036D10">
        <w:tc>
          <w:tcPr>
            <w:tcW w:w="1165" w:type="dxa"/>
            <w:vAlign w:val="center"/>
          </w:tcPr>
          <w:p w14:paraId="23AEA3F7" w14:textId="7BAF2093" w:rsidR="00C90629" w:rsidRPr="00036D10" w:rsidRDefault="00C90629" w:rsidP="00036D10">
            <w:pPr>
              <w:bidi/>
              <w:jc w:val="center"/>
              <w:rPr>
                <w:rFonts w:cs="GE SS Two Bold"/>
                <w:b/>
                <w:bCs/>
                <w:lang w:val="en-US"/>
              </w:rPr>
            </w:pPr>
            <w:r w:rsidRPr="00036D10">
              <w:rPr>
                <w:b/>
                <w:bCs/>
                <w:lang w:val="en-US"/>
              </w:rPr>
              <w:t>1</w:t>
            </w:r>
          </w:p>
        </w:tc>
        <w:tc>
          <w:tcPr>
            <w:tcW w:w="7470" w:type="dxa"/>
            <w:vAlign w:val="center"/>
          </w:tcPr>
          <w:p w14:paraId="7DD4EF1A" w14:textId="26EFED75" w:rsidR="00C90629" w:rsidRPr="00036D10" w:rsidRDefault="00C90629" w:rsidP="00036D10">
            <w:pPr>
              <w:bidi/>
              <w:rPr>
                <w:rFonts w:ascii="GE SS Two" w:hAnsi="GE SS Two" w:cs="GE SS Two Light" w:hint="eastAsia"/>
                <w:sz w:val="22"/>
                <w:szCs w:val="22"/>
                <w:lang w:val="en-US"/>
              </w:rPr>
            </w:pPr>
            <w:r w:rsidRPr="00036D10">
              <w:rPr>
                <w:rFonts w:ascii="GE SS Two" w:hAnsi="GE SS Two" w:cs="GE SS Two Light"/>
                <w:b/>
                <w:bCs/>
                <w:sz w:val="22"/>
                <w:szCs w:val="22"/>
                <w:rtl/>
                <w:lang w:val="en-US"/>
              </w:rPr>
              <w:t>غرينلاند</w:t>
            </w:r>
          </w:p>
        </w:tc>
        <w:tc>
          <w:tcPr>
            <w:tcW w:w="2065" w:type="dxa"/>
            <w:vAlign w:val="center"/>
          </w:tcPr>
          <w:p w14:paraId="6CE5B75F" w14:textId="64A064E1" w:rsidR="00C90629" w:rsidRPr="00036D10" w:rsidRDefault="00C90629" w:rsidP="00036D10">
            <w:pPr>
              <w:bidi/>
              <w:rPr>
                <w:rFonts w:cs="GE SS Two Bold"/>
                <w:b/>
                <w:bCs/>
                <w:lang w:val="en-US"/>
              </w:rPr>
            </w:pPr>
            <w:r w:rsidRPr="00C90629">
              <w:rPr>
                <w:rFonts w:cs="GE SS Two Bold"/>
                <w:b/>
                <w:bCs/>
                <w:rtl/>
                <w:lang w:val="en-US"/>
              </w:rPr>
              <w:t>المنطقة القطبية الشمالية</w:t>
            </w:r>
          </w:p>
        </w:tc>
      </w:tr>
      <w:tr w:rsidR="00983764" w:rsidRPr="00C90629" w14:paraId="1469AC43" w14:textId="77777777" w:rsidTr="00983764">
        <w:tc>
          <w:tcPr>
            <w:tcW w:w="1165" w:type="dxa"/>
            <w:shd w:val="clear" w:color="auto" w:fill="FFC000"/>
            <w:vAlign w:val="center"/>
          </w:tcPr>
          <w:p w14:paraId="0FC91483" w14:textId="49A20222" w:rsidR="00983764" w:rsidRPr="00983764" w:rsidRDefault="00983764" w:rsidP="00036D10">
            <w:pPr>
              <w:bidi/>
              <w:jc w:val="center"/>
              <w:rPr>
                <w:b/>
                <w:bCs/>
                <w:sz w:val="32"/>
                <w:szCs w:val="32"/>
                <w:lang w:val="en-US"/>
              </w:rPr>
            </w:pPr>
            <w:r w:rsidRPr="00983764">
              <w:rPr>
                <w:b/>
                <w:bCs/>
                <w:sz w:val="32"/>
                <w:szCs w:val="32"/>
                <w:lang w:val="en-US"/>
              </w:rPr>
              <w:t>183</w:t>
            </w:r>
          </w:p>
        </w:tc>
        <w:tc>
          <w:tcPr>
            <w:tcW w:w="9535" w:type="dxa"/>
            <w:gridSpan w:val="2"/>
            <w:shd w:val="clear" w:color="auto" w:fill="FFC000"/>
            <w:vAlign w:val="center"/>
          </w:tcPr>
          <w:p w14:paraId="08B49FF8" w14:textId="7799DCFF" w:rsidR="00983764" w:rsidRPr="00983764" w:rsidRDefault="00983764" w:rsidP="00983764">
            <w:pPr>
              <w:bidi/>
              <w:jc w:val="center"/>
              <w:rPr>
                <w:rFonts w:cs="GE SS Two Bold"/>
                <w:b/>
                <w:bCs/>
                <w:sz w:val="32"/>
                <w:szCs w:val="32"/>
                <w:rtl/>
                <w:lang w:val="en-US"/>
              </w:rPr>
            </w:pPr>
            <w:r w:rsidRPr="00983764">
              <w:rPr>
                <w:rFonts w:cs="GE SS Two Bold"/>
                <w:b/>
                <w:bCs/>
                <w:sz w:val="32"/>
                <w:szCs w:val="32"/>
                <w:rtl/>
                <w:lang w:val="en-US"/>
              </w:rPr>
              <w:t>إجمالي عدد الدول</w:t>
            </w:r>
          </w:p>
        </w:tc>
      </w:tr>
    </w:tbl>
    <w:p w14:paraId="043ACFB0" w14:textId="77777777" w:rsidR="00C90629" w:rsidRPr="00C90629" w:rsidRDefault="00C90629" w:rsidP="00BF280D">
      <w:pPr>
        <w:rPr>
          <w:lang w:val="en-US"/>
        </w:rPr>
      </w:pPr>
    </w:p>
    <w:sectPr w:rsidR="00C90629" w:rsidRPr="00C90629" w:rsidSect="00010863">
      <w:headerReference w:type="default" r:id="rId11"/>
      <w:footerReference w:type="default" r:id="rId12"/>
      <w:pgSz w:w="11900" w:h="16840"/>
      <w:pgMar w:top="2070" w:right="650" w:bottom="1701" w:left="540"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5DC87" w14:textId="77777777" w:rsidR="00DE6266" w:rsidRDefault="00DE6266" w:rsidP="00FD6ACB">
      <w:r>
        <w:separator/>
      </w:r>
    </w:p>
  </w:endnote>
  <w:endnote w:type="continuationSeparator" w:id="0">
    <w:p w14:paraId="479EC8A9" w14:textId="77777777" w:rsidR="00DE6266" w:rsidRDefault="00DE6266" w:rsidP="00FD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odafone Rg">
    <w:panose1 w:val="020B0606080202020204"/>
    <w:charset w:val="00"/>
    <w:family w:val="swiss"/>
    <w:pitch w:val="variable"/>
    <w:sig w:usb0="A00002BF" w:usb1="1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 SS Two Bold">
    <w:altName w:val="Sakkal Majalla"/>
    <w:panose1 w:val="00000000000000000000"/>
    <w:charset w:val="B2"/>
    <w:family w:val="roman"/>
    <w:notTrueType/>
    <w:pitch w:val="variable"/>
    <w:sig w:usb0="80002003" w:usb1="80000100" w:usb2="00000028" w:usb3="00000000" w:csb0="00000040"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GE SS Two">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0729" w14:textId="77777777" w:rsidR="00FD6ACB" w:rsidRPr="00555DDC" w:rsidRDefault="00FD6ACB" w:rsidP="008E41E2">
    <w:pPr>
      <w:pStyle w:val="VFLetterheadfooterAddrs"/>
      <w:rPr>
        <w:lang w:val="it-IT"/>
      </w:rPr>
    </w:pPr>
    <w:r w:rsidRPr="00555DDC">
      <w:rPr>
        <w:lang w:val="it-IT"/>
      </w:rPr>
      <w:t>Vodafone Qatar P.Q.S.C</w:t>
    </w:r>
  </w:p>
  <w:p w14:paraId="2DA05F67" w14:textId="77777777" w:rsidR="00FD6ACB" w:rsidRPr="00B0135A" w:rsidRDefault="00FD6ACB" w:rsidP="00E84AFF">
    <w:pPr>
      <w:autoSpaceDE w:val="0"/>
      <w:autoSpaceDN w:val="0"/>
      <w:adjustRightInd w:val="0"/>
      <w:rPr>
        <w:rFonts w:ascii="Vodafone Rg" w:hAnsi="Vodafone Rg" w:cs="Courier New"/>
        <w:sz w:val="13"/>
        <w:szCs w:val="13"/>
        <w:lang w:eastAsia="de-DE"/>
      </w:rPr>
    </w:pPr>
    <w:r w:rsidRPr="00E84AFF">
      <w:rPr>
        <w:rFonts w:ascii="Vodafone Rg" w:eastAsia="Times New Roman" w:hAnsi="Vodafone Rg" w:cs="Times New Roman"/>
        <w:sz w:val="18"/>
        <w:szCs w:val="18"/>
        <w:lang w:val="en-US"/>
      </w:rPr>
      <w:t>Msheireb Downtown Doha</w:t>
    </w:r>
    <w:r>
      <w:rPr>
        <w:rFonts w:ascii="Vodafone Rg" w:eastAsia="Times New Roman" w:hAnsi="Vodafone Rg" w:cs="Times New Roman"/>
        <w:sz w:val="18"/>
        <w:szCs w:val="18"/>
        <w:lang w:val="en-US"/>
      </w:rPr>
      <w:t xml:space="preserve">, </w:t>
    </w:r>
    <w:r w:rsidRPr="00E84AFF">
      <w:rPr>
        <w:rFonts w:ascii="Vodafone Rg" w:eastAsia="Times New Roman" w:hAnsi="Vodafone Rg" w:cs="Times New Roman"/>
        <w:sz w:val="18"/>
        <w:szCs w:val="18"/>
        <w:lang w:val="en-US"/>
      </w:rPr>
      <w:t>Zone 03</w:t>
    </w:r>
    <w:r>
      <w:rPr>
        <w:rFonts w:ascii="Vodafone Rg" w:eastAsia="Times New Roman" w:hAnsi="Vodafone Rg" w:cs="Times New Roman"/>
        <w:sz w:val="18"/>
        <w:szCs w:val="18"/>
        <w:lang w:val="en-US"/>
      </w:rPr>
      <w:t xml:space="preserve">, </w:t>
    </w:r>
    <w:r w:rsidRPr="00E84AFF">
      <w:rPr>
        <w:rFonts w:ascii="Vodafone Rg" w:eastAsia="Times New Roman" w:hAnsi="Vodafone Rg" w:cs="Times New Roman"/>
        <w:sz w:val="18"/>
        <w:szCs w:val="18"/>
        <w:lang w:val="en-US"/>
      </w:rPr>
      <w:t>Street 981</w:t>
    </w:r>
    <w:r>
      <w:rPr>
        <w:rFonts w:ascii="Vodafone Rg" w:eastAsia="Times New Roman" w:hAnsi="Vodafone Rg" w:cs="Times New Roman"/>
        <w:sz w:val="18"/>
        <w:szCs w:val="18"/>
        <w:lang w:val="en-US"/>
      </w:rPr>
      <w:t xml:space="preserve">, </w:t>
    </w:r>
    <w:r w:rsidRPr="00E84AFF">
      <w:rPr>
        <w:rFonts w:ascii="Vodafone Rg" w:eastAsia="Times New Roman" w:hAnsi="Vodafone Rg" w:cs="Times New Roman"/>
        <w:sz w:val="18"/>
        <w:szCs w:val="18"/>
        <w:lang w:val="en-US"/>
      </w:rPr>
      <w:t>Building 02</w:t>
    </w:r>
    <w:r>
      <w:rPr>
        <w:rFonts w:ascii="Vodafone Rg" w:eastAsia="Times New Roman" w:hAnsi="Vodafone Rg" w:cs="Times New Roman"/>
        <w:sz w:val="18"/>
        <w:szCs w:val="18"/>
        <w:lang w:val="en-US"/>
      </w:rPr>
      <w:t xml:space="preserve">, </w:t>
    </w:r>
    <w:r w:rsidRPr="00E84AFF">
      <w:rPr>
        <w:rFonts w:ascii="Vodafone Rg" w:eastAsia="Times New Roman" w:hAnsi="Vodafone Rg" w:cs="Times New Roman"/>
        <w:sz w:val="18"/>
        <w:szCs w:val="18"/>
        <w:lang w:val="en-US"/>
      </w:rPr>
      <w:t>4th floo</w:t>
    </w:r>
    <w:r>
      <w:rPr>
        <w:rFonts w:ascii="Vodafone Rg" w:eastAsia="Times New Roman" w:hAnsi="Vodafone Rg" w:cs="Times New Roman"/>
        <w:sz w:val="18"/>
        <w:szCs w:val="18"/>
        <w:lang w:val="en-US"/>
      </w:rPr>
      <w:t xml:space="preserve">r, </w:t>
    </w:r>
    <w:r w:rsidRPr="00E84AFF">
      <w:rPr>
        <w:rFonts w:ascii="Vodafone Rg" w:eastAsia="Times New Roman" w:hAnsi="Vodafone Rg" w:cs="Times New Roman"/>
        <w:sz w:val="18"/>
        <w:szCs w:val="18"/>
        <w:lang w:val="en-US"/>
      </w:rPr>
      <w:t>PO Box 27727</w:t>
    </w:r>
    <w:r>
      <w:rPr>
        <w:rFonts w:ascii="Vodafone Rg" w:eastAsia="Times New Roman" w:hAnsi="Vodafone Rg" w:cs="Times New Roman"/>
        <w:sz w:val="18"/>
        <w:szCs w:val="18"/>
        <w:lang w:val="en-US"/>
      </w:rPr>
      <w:t xml:space="preserve">, </w:t>
    </w:r>
    <w:r w:rsidRPr="00E84AFF">
      <w:rPr>
        <w:rFonts w:ascii="Vodafone Rg" w:eastAsia="Times New Roman" w:hAnsi="Vodafone Rg" w:cs="Times New Roman"/>
        <w:sz w:val="18"/>
        <w:szCs w:val="18"/>
        <w:lang w:val="en-US"/>
      </w:rPr>
      <w:t>Doha</w:t>
    </w:r>
    <w:r>
      <w:rPr>
        <w:rFonts w:ascii="Vodafone Rg" w:eastAsia="Times New Roman" w:hAnsi="Vodafone Rg" w:cs="Times New Roman"/>
        <w:sz w:val="18"/>
        <w:szCs w:val="18"/>
        <w:lang w:val="en-US"/>
      </w:rPr>
      <w:t xml:space="preserve">, </w:t>
    </w:r>
    <w:r w:rsidRPr="00E84AFF">
      <w:rPr>
        <w:rFonts w:ascii="Vodafone Rg" w:eastAsia="Times New Roman" w:hAnsi="Vodafone Rg" w:cs="Times New Roman"/>
        <w:sz w:val="18"/>
        <w:szCs w:val="18"/>
        <w:lang w:val="en-US"/>
      </w:rPr>
      <w:t>Qatar</w:t>
    </w:r>
    <w:r>
      <w:rPr>
        <w:rFonts w:ascii="Vodafone Rg" w:eastAsia="Times New Roman" w:hAnsi="Vodafone Rg" w:cs="Times New Roman"/>
        <w:sz w:val="18"/>
        <w:szCs w:val="18"/>
        <w:lang w:val="en-US"/>
      </w:rPr>
      <w:br/>
    </w:r>
    <w:r w:rsidRPr="00B0135A">
      <w:rPr>
        <w:rFonts w:ascii="Vodafone Rg" w:hAnsi="Vodafone Rg" w:cs="Courier New"/>
        <w:sz w:val="13"/>
        <w:szCs w:val="13"/>
        <w:lang w:eastAsia="de-DE"/>
      </w:rPr>
      <w:t xml:space="preserve">A </w:t>
    </w:r>
    <w:r>
      <w:rPr>
        <w:rFonts w:ascii="Vodafone Rg" w:hAnsi="Vodafone Rg" w:cs="Courier New"/>
        <w:sz w:val="13"/>
        <w:szCs w:val="13"/>
        <w:lang w:eastAsia="de-DE"/>
      </w:rPr>
      <w:t xml:space="preserve">Public </w:t>
    </w:r>
    <w:r w:rsidRPr="00B0135A">
      <w:rPr>
        <w:rFonts w:ascii="Vodafone Rg" w:hAnsi="Vodafone Rg" w:cs="Courier New"/>
        <w:sz w:val="13"/>
        <w:szCs w:val="13"/>
        <w:lang w:eastAsia="de-DE"/>
      </w:rPr>
      <w:t>Qatari Shareholding Company, by virtue of Ministerial Resolution number (160) of 2008 and in accordance with the laws of the State of Qatar, having Commercial Registration number 39656.</w:t>
    </w:r>
    <w:r>
      <w:rPr>
        <w:rFonts w:ascii="Vodafone Rg" w:hAnsi="Vodafone Rg" w:cs="Courier New"/>
        <w:sz w:val="13"/>
        <w:szCs w:val="13"/>
        <w:lang w:eastAsia="de-DE"/>
      </w:rPr>
      <w:t xml:space="preserve"> Tel: 00974 44096666, Fax: 00974 44096669. Paid-up capital QAR 4,227,000,000. </w:t>
    </w:r>
  </w:p>
  <w:p w14:paraId="7C78AC09" w14:textId="77777777" w:rsidR="00FD6ACB" w:rsidRDefault="00FD6ACB" w:rsidP="008E41E2">
    <w:pPr>
      <w:pStyle w:val="Footer"/>
      <w:rPr>
        <w:rtl/>
        <w:lang w:bidi="ar-QA"/>
      </w:rPr>
    </w:pPr>
    <w:r>
      <w:rPr>
        <w:noProof/>
        <w:rtl/>
        <w:lang w:eastAsia="en-GB"/>
      </w:rPr>
      <mc:AlternateContent>
        <mc:Choice Requires="wps">
          <w:drawing>
            <wp:anchor distT="0" distB="0" distL="114300" distR="114300" simplePos="0" relativeHeight="251660288" behindDoc="0" locked="0" layoutInCell="0" allowOverlap="1" wp14:anchorId="4A492456" wp14:editId="7303D846">
              <wp:simplePos x="0" y="0"/>
              <wp:positionH relativeFrom="page">
                <wp:posOffset>0</wp:posOffset>
              </wp:positionH>
              <wp:positionV relativeFrom="page">
                <wp:posOffset>10236200</wp:posOffset>
              </wp:positionV>
              <wp:extent cx="7556500" cy="266700"/>
              <wp:effectExtent l="0" t="0" r="6350" b="0"/>
              <wp:wrapNone/>
              <wp:docPr id="4" name="MSIPCM453546919f86e30888ff9cf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422E53" w14:textId="77777777" w:rsidR="00FD6ACB" w:rsidRPr="007C1109" w:rsidRDefault="00FD6ACB" w:rsidP="007C1109">
                          <w:pPr>
                            <w:rPr>
                              <w:rFonts w:ascii="Calibri" w:hAnsi="Calibri" w:cs="Calibri"/>
                              <w:color w:val="000000"/>
                              <w:sz w:val="14"/>
                            </w:rPr>
                          </w:pPr>
                          <w:r w:rsidRPr="007C1109">
                            <w:rPr>
                              <w:rFonts w:ascii="Calibri" w:hAnsi="Calibri" w:cs="Calibri"/>
                              <w:color w:val="000000"/>
                              <w:sz w:val="14"/>
                            </w:rPr>
                            <w:t>C2 General</w:t>
                          </w:r>
                        </w:p>
                      </w:txbxContent>
                    </wps:txbx>
                    <wps:bodyPr rot="0" spcFirstLastPara="0" vertOverflow="overflow" horzOverflow="overflow" vert="horz" wrap="square" lIns="254000" tIns="0" rIns="0" bIns="0" numCol="1" spcCol="0" rtlCol="0" fromWordArt="0" anchor="b" anchorCtr="0" forceAA="0" compatLnSpc="1">
                      <a:prstTxWarp prst="textNoShape">
                        <a:avLst/>
                      </a:prstTxWarp>
                      <a:noAutofit/>
                    </wps:bodyPr>
                  </wps:wsp>
                </a:graphicData>
              </a:graphic>
            </wp:anchor>
          </w:drawing>
        </mc:Choice>
        <mc:Fallback>
          <w:pict>
            <v:shapetype w14:anchorId="4A492456" id="_x0000_t202" coordsize="21600,21600" o:spt="202" path="m,l,21600r21600,l21600,xe">
              <v:stroke joinstyle="miter"/>
              <v:path gradientshapeok="t" o:connecttype="rect"/>
            </v:shapetype>
            <v:shape id="MSIPCM453546919f86e30888ff9cf7" o:spid="_x0000_s1026" type="#_x0000_t202" alt="{&quot;HashCode&quot;:-1699574231,&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" o:allowincell="f" filled="f" stroked="f" strokeweight=".5pt">
              <v:textbox inset="20pt,0,0,0">
                <w:txbxContent>
                  <w:p w14:paraId="5E422E53" w14:textId="77777777" w:rsidR="00FD6ACB" w:rsidRPr="007C1109" w:rsidRDefault="00FD6ACB" w:rsidP="007C1109">
                    <w:pPr>
                      <w:rPr>
                        <w:rFonts w:ascii="Calibri" w:hAnsi="Calibri" w:cs="Calibri"/>
                        <w:color w:val="000000"/>
                        <w:sz w:val="14"/>
                      </w:rPr>
                    </w:pPr>
                    <w:r w:rsidRPr="007C1109">
                      <w:rPr>
                        <w:rFonts w:ascii="Calibri" w:hAnsi="Calibri" w:cs="Calibri"/>
                        <w:color w:val="000000"/>
                        <w:sz w:val="14"/>
                      </w:rPr>
                      <w:t>C2 General</w:t>
                    </w:r>
                  </w:p>
                </w:txbxContent>
              </v:textbox>
              <w10:wrap anchorx="page" anchory="page"/>
            </v:shape>
          </w:pict>
        </mc:Fallback>
      </mc:AlternateContent>
    </w:r>
  </w:p>
  <w:p w14:paraId="3C6CC942" w14:textId="77777777" w:rsidR="00FD6ACB" w:rsidRDefault="00FD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585DE" w14:textId="77777777" w:rsidR="00DE6266" w:rsidRDefault="00DE6266" w:rsidP="00FD6ACB">
      <w:r>
        <w:separator/>
      </w:r>
    </w:p>
  </w:footnote>
  <w:footnote w:type="continuationSeparator" w:id="0">
    <w:p w14:paraId="7CD8C30E" w14:textId="77777777" w:rsidR="00DE6266" w:rsidRDefault="00DE6266" w:rsidP="00FD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854D" w14:textId="37A1D644" w:rsidR="00983764" w:rsidRDefault="00983764">
    <w:pPr>
      <w:pStyle w:val="Header"/>
    </w:pPr>
    <w:r>
      <w:rPr>
        <w:noProof/>
        <w14:ligatures w14:val="standardContextual"/>
      </w:rPr>
      <w:drawing>
        <wp:inline distT="0" distB="0" distL="0" distR="0" wp14:anchorId="56A5B31D" wp14:editId="3E8C984F">
          <wp:extent cx="2247900" cy="557672"/>
          <wp:effectExtent l="0" t="0" r="0" b="0"/>
          <wp:docPr id="1875912034" name="Picture 2" descr="A red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12034" name="Picture 2" descr="A red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94488" cy="569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A4B"/>
    <w:multiLevelType w:val="multilevel"/>
    <w:tmpl w:val="C8B41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35137"/>
    <w:multiLevelType w:val="multilevel"/>
    <w:tmpl w:val="092C4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E4B9C"/>
    <w:multiLevelType w:val="hybridMultilevel"/>
    <w:tmpl w:val="C0400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A28E9"/>
    <w:multiLevelType w:val="hybridMultilevel"/>
    <w:tmpl w:val="AB821B64"/>
    <w:lvl w:ilvl="0" w:tplc="04090005">
      <w:start w:val="1"/>
      <w:numFmt w:val="bullet"/>
      <w:lvlText w:val=""/>
      <w:lvlJc w:val="left"/>
      <w:pPr>
        <w:ind w:left="540" w:hanging="360"/>
      </w:pPr>
      <w:rPr>
        <w:rFonts w:ascii="Wingdings" w:hAnsi="Wingdings" w:hint="default"/>
      </w:rPr>
    </w:lvl>
    <w:lvl w:ilvl="1" w:tplc="FFFFFFFF">
      <w:start w:val="1"/>
      <w:numFmt w:val="bullet"/>
      <w:lvlText w:val="o"/>
      <w:lvlJc w:val="left"/>
      <w:pPr>
        <w:ind w:left="1260" w:hanging="360"/>
      </w:pPr>
      <w:rPr>
        <w:rFonts w:ascii="Courier New" w:hAnsi="Courier New" w:cs="Courier New" w:hint="default"/>
      </w:rPr>
    </w:lvl>
    <w:lvl w:ilvl="2" w:tplc="FFFFFFFF">
      <w:start w:val="1"/>
      <w:numFmt w:val="bullet"/>
      <w:lvlText w:val=""/>
      <w:lvlJc w:val="left"/>
      <w:pPr>
        <w:ind w:left="1980" w:hanging="360"/>
      </w:pPr>
      <w:rPr>
        <w:rFonts w:ascii="Wingdings" w:hAnsi="Wingdings" w:hint="default"/>
      </w:rPr>
    </w:lvl>
    <w:lvl w:ilvl="3" w:tplc="FFFFFFFF">
      <w:start w:val="1"/>
      <w:numFmt w:val="bullet"/>
      <w:lvlText w:val=""/>
      <w:lvlJc w:val="left"/>
      <w:pPr>
        <w:ind w:left="2700" w:hanging="360"/>
      </w:pPr>
      <w:rPr>
        <w:rFonts w:ascii="Symbol" w:hAnsi="Symbol" w:hint="default"/>
      </w:rPr>
    </w:lvl>
    <w:lvl w:ilvl="4" w:tplc="FFFFFFFF">
      <w:start w:val="1"/>
      <w:numFmt w:val="bullet"/>
      <w:lvlText w:val="o"/>
      <w:lvlJc w:val="left"/>
      <w:pPr>
        <w:ind w:left="3420" w:hanging="360"/>
      </w:pPr>
      <w:rPr>
        <w:rFonts w:ascii="Courier New" w:hAnsi="Courier New" w:cs="Courier New" w:hint="default"/>
      </w:rPr>
    </w:lvl>
    <w:lvl w:ilvl="5" w:tplc="FFFFFFFF">
      <w:start w:val="1"/>
      <w:numFmt w:val="bullet"/>
      <w:lvlText w:val=""/>
      <w:lvlJc w:val="left"/>
      <w:pPr>
        <w:ind w:left="4140" w:hanging="360"/>
      </w:pPr>
      <w:rPr>
        <w:rFonts w:ascii="Wingdings" w:hAnsi="Wingdings" w:hint="default"/>
      </w:rPr>
    </w:lvl>
    <w:lvl w:ilvl="6" w:tplc="FFFFFFFF">
      <w:start w:val="1"/>
      <w:numFmt w:val="bullet"/>
      <w:lvlText w:val=""/>
      <w:lvlJc w:val="left"/>
      <w:pPr>
        <w:ind w:left="4860" w:hanging="360"/>
      </w:pPr>
      <w:rPr>
        <w:rFonts w:ascii="Symbol" w:hAnsi="Symbol" w:hint="default"/>
      </w:rPr>
    </w:lvl>
    <w:lvl w:ilvl="7" w:tplc="FFFFFFFF">
      <w:start w:val="1"/>
      <w:numFmt w:val="bullet"/>
      <w:lvlText w:val="o"/>
      <w:lvlJc w:val="left"/>
      <w:pPr>
        <w:ind w:left="5580" w:hanging="360"/>
      </w:pPr>
      <w:rPr>
        <w:rFonts w:ascii="Courier New" w:hAnsi="Courier New" w:cs="Courier New" w:hint="default"/>
      </w:rPr>
    </w:lvl>
    <w:lvl w:ilvl="8" w:tplc="FFFFFFFF">
      <w:start w:val="1"/>
      <w:numFmt w:val="bullet"/>
      <w:lvlText w:val=""/>
      <w:lvlJc w:val="left"/>
      <w:pPr>
        <w:ind w:left="6300" w:hanging="360"/>
      </w:pPr>
      <w:rPr>
        <w:rFonts w:ascii="Wingdings" w:hAnsi="Wingdings" w:hint="default"/>
      </w:rPr>
    </w:lvl>
  </w:abstractNum>
  <w:abstractNum w:abstractNumId="4" w15:restartNumberingAfterBreak="0">
    <w:nsid w:val="11C573D6"/>
    <w:multiLevelType w:val="hybridMultilevel"/>
    <w:tmpl w:val="CDA27BB8"/>
    <w:lvl w:ilvl="0" w:tplc="A92C9D9C">
      <w:start w:val="1"/>
      <w:numFmt w:val="bullet"/>
      <w:lvlText w:val=""/>
      <w:lvlJc w:val="left"/>
      <w:pPr>
        <w:ind w:left="720" w:hanging="360"/>
      </w:pPr>
      <w:rPr>
        <w:rFonts w:ascii="Symbol" w:hAnsi="Symbol"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CB3014"/>
    <w:multiLevelType w:val="hybridMultilevel"/>
    <w:tmpl w:val="77600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191815"/>
    <w:multiLevelType w:val="hybridMultilevel"/>
    <w:tmpl w:val="B4268906"/>
    <w:lvl w:ilvl="0" w:tplc="36F492B6">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2A0415B2"/>
    <w:multiLevelType w:val="hybridMultilevel"/>
    <w:tmpl w:val="257688C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8" w15:restartNumberingAfterBreak="0">
    <w:nsid w:val="2A0F483F"/>
    <w:multiLevelType w:val="hybridMultilevel"/>
    <w:tmpl w:val="E35CF616"/>
    <w:lvl w:ilvl="0" w:tplc="804A0262">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3A0446"/>
    <w:multiLevelType w:val="hybridMultilevel"/>
    <w:tmpl w:val="1768368C"/>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10" w15:restartNumberingAfterBreak="0">
    <w:nsid w:val="2F9D55B2"/>
    <w:multiLevelType w:val="hybridMultilevel"/>
    <w:tmpl w:val="FC2E1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317AD1"/>
    <w:multiLevelType w:val="hybridMultilevel"/>
    <w:tmpl w:val="1374C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4F1D28"/>
    <w:multiLevelType w:val="hybridMultilevel"/>
    <w:tmpl w:val="5C30F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8D7264"/>
    <w:multiLevelType w:val="hybridMultilevel"/>
    <w:tmpl w:val="6774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A7DC0"/>
    <w:multiLevelType w:val="hybridMultilevel"/>
    <w:tmpl w:val="09683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63F22"/>
    <w:multiLevelType w:val="hybridMultilevel"/>
    <w:tmpl w:val="9E84D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A2D17D3"/>
    <w:multiLevelType w:val="hybridMultilevel"/>
    <w:tmpl w:val="4B4A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C1534D"/>
    <w:multiLevelType w:val="hybridMultilevel"/>
    <w:tmpl w:val="72128FC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4C911D2C"/>
    <w:multiLevelType w:val="multilevel"/>
    <w:tmpl w:val="ADA8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A51A85"/>
    <w:multiLevelType w:val="hybridMultilevel"/>
    <w:tmpl w:val="34AC26A6"/>
    <w:lvl w:ilvl="0" w:tplc="1BB6562A">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192C1A8E">
      <w:numFmt w:val="bullet"/>
      <w:lvlText w:val="•"/>
      <w:lvlJc w:val="left"/>
      <w:pPr>
        <w:ind w:left="1682" w:hanging="360"/>
      </w:pPr>
      <w:rPr>
        <w:lang w:val="en-US" w:eastAsia="en-US" w:bidi="ar-SA"/>
      </w:rPr>
    </w:lvl>
    <w:lvl w:ilvl="2" w:tplc="FEDCF6CC">
      <w:numFmt w:val="bullet"/>
      <w:lvlText w:val="•"/>
      <w:lvlJc w:val="left"/>
      <w:pPr>
        <w:ind w:left="2525" w:hanging="360"/>
      </w:pPr>
      <w:rPr>
        <w:lang w:val="en-US" w:eastAsia="en-US" w:bidi="ar-SA"/>
      </w:rPr>
    </w:lvl>
    <w:lvl w:ilvl="3" w:tplc="929C1302">
      <w:numFmt w:val="bullet"/>
      <w:lvlText w:val="•"/>
      <w:lvlJc w:val="left"/>
      <w:pPr>
        <w:ind w:left="3367" w:hanging="360"/>
      </w:pPr>
      <w:rPr>
        <w:lang w:val="en-US" w:eastAsia="en-US" w:bidi="ar-SA"/>
      </w:rPr>
    </w:lvl>
    <w:lvl w:ilvl="4" w:tplc="722438C2">
      <w:numFmt w:val="bullet"/>
      <w:lvlText w:val="•"/>
      <w:lvlJc w:val="left"/>
      <w:pPr>
        <w:ind w:left="4210" w:hanging="360"/>
      </w:pPr>
      <w:rPr>
        <w:lang w:val="en-US" w:eastAsia="en-US" w:bidi="ar-SA"/>
      </w:rPr>
    </w:lvl>
    <w:lvl w:ilvl="5" w:tplc="BCD85042">
      <w:numFmt w:val="bullet"/>
      <w:lvlText w:val="•"/>
      <w:lvlJc w:val="left"/>
      <w:pPr>
        <w:ind w:left="5053" w:hanging="360"/>
      </w:pPr>
      <w:rPr>
        <w:lang w:val="en-US" w:eastAsia="en-US" w:bidi="ar-SA"/>
      </w:rPr>
    </w:lvl>
    <w:lvl w:ilvl="6" w:tplc="5622DC70">
      <w:numFmt w:val="bullet"/>
      <w:lvlText w:val="•"/>
      <w:lvlJc w:val="left"/>
      <w:pPr>
        <w:ind w:left="5895" w:hanging="360"/>
      </w:pPr>
      <w:rPr>
        <w:lang w:val="en-US" w:eastAsia="en-US" w:bidi="ar-SA"/>
      </w:rPr>
    </w:lvl>
    <w:lvl w:ilvl="7" w:tplc="74F2D8B0">
      <w:numFmt w:val="bullet"/>
      <w:lvlText w:val="•"/>
      <w:lvlJc w:val="left"/>
      <w:pPr>
        <w:ind w:left="6738" w:hanging="360"/>
      </w:pPr>
      <w:rPr>
        <w:lang w:val="en-US" w:eastAsia="en-US" w:bidi="ar-SA"/>
      </w:rPr>
    </w:lvl>
    <w:lvl w:ilvl="8" w:tplc="7AC455F0">
      <w:numFmt w:val="bullet"/>
      <w:lvlText w:val="•"/>
      <w:lvlJc w:val="left"/>
      <w:pPr>
        <w:ind w:left="7581" w:hanging="360"/>
      </w:pPr>
      <w:rPr>
        <w:lang w:val="en-US" w:eastAsia="en-US" w:bidi="ar-SA"/>
      </w:rPr>
    </w:lvl>
  </w:abstractNum>
  <w:abstractNum w:abstractNumId="20" w15:restartNumberingAfterBreak="0">
    <w:nsid w:val="54951630"/>
    <w:multiLevelType w:val="hybridMultilevel"/>
    <w:tmpl w:val="C4962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F06FD7"/>
    <w:multiLevelType w:val="hybridMultilevel"/>
    <w:tmpl w:val="C63A5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5789521">
    <w:abstractNumId w:val="6"/>
  </w:num>
  <w:num w:numId="2" w16cid:durableId="1259362041">
    <w:abstractNumId w:val="9"/>
  </w:num>
  <w:num w:numId="3" w16cid:durableId="910389493">
    <w:abstractNumId w:val="21"/>
  </w:num>
  <w:num w:numId="4" w16cid:durableId="2000839911">
    <w:abstractNumId w:val="11"/>
  </w:num>
  <w:num w:numId="5" w16cid:durableId="200412">
    <w:abstractNumId w:val="21"/>
  </w:num>
  <w:num w:numId="6" w16cid:durableId="457378607">
    <w:abstractNumId w:val="4"/>
  </w:num>
  <w:num w:numId="7" w16cid:durableId="1652754553">
    <w:abstractNumId w:val="5"/>
  </w:num>
  <w:num w:numId="8" w16cid:durableId="70082684">
    <w:abstractNumId w:val="2"/>
  </w:num>
  <w:num w:numId="9" w16cid:durableId="651064646">
    <w:abstractNumId w:val="1"/>
  </w:num>
  <w:num w:numId="10" w16cid:durableId="1745831266">
    <w:abstractNumId w:val="2"/>
  </w:num>
  <w:num w:numId="11" w16cid:durableId="57871505">
    <w:abstractNumId w:val="3"/>
  </w:num>
  <w:num w:numId="12" w16cid:durableId="83845112">
    <w:abstractNumId w:val="14"/>
  </w:num>
  <w:num w:numId="13" w16cid:durableId="1047223094">
    <w:abstractNumId w:val="16"/>
  </w:num>
  <w:num w:numId="14" w16cid:durableId="781268859">
    <w:abstractNumId w:val="12"/>
  </w:num>
  <w:num w:numId="15" w16cid:durableId="253324919">
    <w:abstractNumId w:val="19"/>
  </w:num>
  <w:num w:numId="16" w16cid:durableId="856819124">
    <w:abstractNumId w:val="15"/>
  </w:num>
  <w:num w:numId="17" w16cid:durableId="2123070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0970889">
    <w:abstractNumId w:val="15"/>
  </w:num>
  <w:num w:numId="19" w16cid:durableId="1503471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7078460">
    <w:abstractNumId w:val="20"/>
  </w:num>
  <w:num w:numId="21" w16cid:durableId="772821870">
    <w:abstractNumId w:val="7"/>
  </w:num>
  <w:num w:numId="22" w16cid:durableId="14574062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9569265">
    <w:abstractNumId w:val="0"/>
  </w:num>
  <w:num w:numId="24" w16cid:durableId="1152679170">
    <w:abstractNumId w:val="8"/>
  </w:num>
  <w:num w:numId="25" w16cid:durableId="2090148733">
    <w:abstractNumId w:val="13"/>
  </w:num>
  <w:num w:numId="26" w16cid:durableId="1603370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CB"/>
    <w:rsid w:val="00004A03"/>
    <w:rsid w:val="00010863"/>
    <w:rsid w:val="000337BF"/>
    <w:rsid w:val="00033EBD"/>
    <w:rsid w:val="00034B1B"/>
    <w:rsid w:val="0003519F"/>
    <w:rsid w:val="00036D10"/>
    <w:rsid w:val="00042854"/>
    <w:rsid w:val="00045ABF"/>
    <w:rsid w:val="00061149"/>
    <w:rsid w:val="0006175B"/>
    <w:rsid w:val="00090A2B"/>
    <w:rsid w:val="00091F89"/>
    <w:rsid w:val="000A70C6"/>
    <w:rsid w:val="000D3664"/>
    <w:rsid w:val="000D63CF"/>
    <w:rsid w:val="000D6AA0"/>
    <w:rsid w:val="000E63B4"/>
    <w:rsid w:val="000F0796"/>
    <w:rsid w:val="000F1566"/>
    <w:rsid w:val="000F6013"/>
    <w:rsid w:val="001015DB"/>
    <w:rsid w:val="00107324"/>
    <w:rsid w:val="001311C0"/>
    <w:rsid w:val="00140ACB"/>
    <w:rsid w:val="00142818"/>
    <w:rsid w:val="00153239"/>
    <w:rsid w:val="00157669"/>
    <w:rsid w:val="00160543"/>
    <w:rsid w:val="001800D8"/>
    <w:rsid w:val="00182265"/>
    <w:rsid w:val="00183029"/>
    <w:rsid w:val="001C43B8"/>
    <w:rsid w:val="001D7FDF"/>
    <w:rsid w:val="001E3E9E"/>
    <w:rsid w:val="001E6668"/>
    <w:rsid w:val="001F077F"/>
    <w:rsid w:val="001F5546"/>
    <w:rsid w:val="001F5800"/>
    <w:rsid w:val="002127F2"/>
    <w:rsid w:val="00216DBA"/>
    <w:rsid w:val="002256E5"/>
    <w:rsid w:val="00233CCD"/>
    <w:rsid w:val="00235837"/>
    <w:rsid w:val="002373BA"/>
    <w:rsid w:val="002430A5"/>
    <w:rsid w:val="00251CCA"/>
    <w:rsid w:val="00280319"/>
    <w:rsid w:val="0028364C"/>
    <w:rsid w:val="002A4E7E"/>
    <w:rsid w:val="002B1EF5"/>
    <w:rsid w:val="002B73B5"/>
    <w:rsid w:val="002C20F8"/>
    <w:rsid w:val="002C495F"/>
    <w:rsid w:val="002D49F7"/>
    <w:rsid w:val="002E2406"/>
    <w:rsid w:val="002E5780"/>
    <w:rsid w:val="002F1956"/>
    <w:rsid w:val="0030420D"/>
    <w:rsid w:val="00306DE4"/>
    <w:rsid w:val="00332513"/>
    <w:rsid w:val="00335AF2"/>
    <w:rsid w:val="00342853"/>
    <w:rsid w:val="003439DE"/>
    <w:rsid w:val="00343AF5"/>
    <w:rsid w:val="0035060B"/>
    <w:rsid w:val="00350F30"/>
    <w:rsid w:val="0037059F"/>
    <w:rsid w:val="00385157"/>
    <w:rsid w:val="00393115"/>
    <w:rsid w:val="003A197F"/>
    <w:rsid w:val="003A49BC"/>
    <w:rsid w:val="003B5618"/>
    <w:rsid w:val="003B5A56"/>
    <w:rsid w:val="003B5ED5"/>
    <w:rsid w:val="003B5FD1"/>
    <w:rsid w:val="003C0825"/>
    <w:rsid w:val="003C2789"/>
    <w:rsid w:val="003C7BC9"/>
    <w:rsid w:val="003D5CEB"/>
    <w:rsid w:val="003E18DD"/>
    <w:rsid w:val="003E5D64"/>
    <w:rsid w:val="00401C2F"/>
    <w:rsid w:val="0040519B"/>
    <w:rsid w:val="00413C62"/>
    <w:rsid w:val="00421ECF"/>
    <w:rsid w:val="0043424C"/>
    <w:rsid w:val="004410C5"/>
    <w:rsid w:val="00441E0E"/>
    <w:rsid w:val="004431B6"/>
    <w:rsid w:val="0046486E"/>
    <w:rsid w:val="00475FC9"/>
    <w:rsid w:val="00482397"/>
    <w:rsid w:val="004844D2"/>
    <w:rsid w:val="004B5037"/>
    <w:rsid w:val="004B64F5"/>
    <w:rsid w:val="004B78C6"/>
    <w:rsid w:val="004C563F"/>
    <w:rsid w:val="004E63AD"/>
    <w:rsid w:val="004F2F55"/>
    <w:rsid w:val="00511E20"/>
    <w:rsid w:val="00512F7C"/>
    <w:rsid w:val="00533D17"/>
    <w:rsid w:val="00537861"/>
    <w:rsid w:val="00541D50"/>
    <w:rsid w:val="00553EE5"/>
    <w:rsid w:val="00555AD2"/>
    <w:rsid w:val="00555DDC"/>
    <w:rsid w:val="00557387"/>
    <w:rsid w:val="00561E3F"/>
    <w:rsid w:val="00590BB1"/>
    <w:rsid w:val="00595EB0"/>
    <w:rsid w:val="005A5918"/>
    <w:rsid w:val="005A741A"/>
    <w:rsid w:val="005B0C34"/>
    <w:rsid w:val="005B16CC"/>
    <w:rsid w:val="005C4BE1"/>
    <w:rsid w:val="005D04E6"/>
    <w:rsid w:val="005D05D9"/>
    <w:rsid w:val="005E59D7"/>
    <w:rsid w:val="005F689B"/>
    <w:rsid w:val="00613B1D"/>
    <w:rsid w:val="00630BA6"/>
    <w:rsid w:val="0065290B"/>
    <w:rsid w:val="00656FAC"/>
    <w:rsid w:val="00664666"/>
    <w:rsid w:val="00665ED7"/>
    <w:rsid w:val="006676D5"/>
    <w:rsid w:val="00671A5D"/>
    <w:rsid w:val="00690EAA"/>
    <w:rsid w:val="006943EB"/>
    <w:rsid w:val="006B04C7"/>
    <w:rsid w:val="006D30A0"/>
    <w:rsid w:val="006F00FE"/>
    <w:rsid w:val="00703BDE"/>
    <w:rsid w:val="007322A9"/>
    <w:rsid w:val="00734F62"/>
    <w:rsid w:val="007370C1"/>
    <w:rsid w:val="00741DC1"/>
    <w:rsid w:val="00762F69"/>
    <w:rsid w:val="0076532C"/>
    <w:rsid w:val="00783DFD"/>
    <w:rsid w:val="00784AB3"/>
    <w:rsid w:val="00796905"/>
    <w:rsid w:val="007A5660"/>
    <w:rsid w:val="007B0FA5"/>
    <w:rsid w:val="007B316A"/>
    <w:rsid w:val="007B3C79"/>
    <w:rsid w:val="007C1A02"/>
    <w:rsid w:val="007C2280"/>
    <w:rsid w:val="007C30BE"/>
    <w:rsid w:val="007E2D12"/>
    <w:rsid w:val="00841BA3"/>
    <w:rsid w:val="00871E7E"/>
    <w:rsid w:val="00871FB0"/>
    <w:rsid w:val="008875C5"/>
    <w:rsid w:val="00890BD0"/>
    <w:rsid w:val="008938A8"/>
    <w:rsid w:val="008A6C25"/>
    <w:rsid w:val="008C7928"/>
    <w:rsid w:val="008D015C"/>
    <w:rsid w:val="008D37E2"/>
    <w:rsid w:val="008D6181"/>
    <w:rsid w:val="008F1208"/>
    <w:rsid w:val="008F1825"/>
    <w:rsid w:val="008F1FFD"/>
    <w:rsid w:val="009147C5"/>
    <w:rsid w:val="009157B1"/>
    <w:rsid w:val="00934109"/>
    <w:rsid w:val="00950CBE"/>
    <w:rsid w:val="00960F2B"/>
    <w:rsid w:val="00983764"/>
    <w:rsid w:val="009937CF"/>
    <w:rsid w:val="009938E7"/>
    <w:rsid w:val="009C2C00"/>
    <w:rsid w:val="009E4C4A"/>
    <w:rsid w:val="009E72BF"/>
    <w:rsid w:val="009F050B"/>
    <w:rsid w:val="009F0698"/>
    <w:rsid w:val="009F0DF6"/>
    <w:rsid w:val="009F1B5A"/>
    <w:rsid w:val="009F1EEC"/>
    <w:rsid w:val="00A01024"/>
    <w:rsid w:val="00A13283"/>
    <w:rsid w:val="00A25D4B"/>
    <w:rsid w:val="00A33AE3"/>
    <w:rsid w:val="00A40D30"/>
    <w:rsid w:val="00A50295"/>
    <w:rsid w:val="00A55734"/>
    <w:rsid w:val="00A5659A"/>
    <w:rsid w:val="00A60D07"/>
    <w:rsid w:val="00A75BF0"/>
    <w:rsid w:val="00A82DD6"/>
    <w:rsid w:val="00A90218"/>
    <w:rsid w:val="00A944C7"/>
    <w:rsid w:val="00A94EDA"/>
    <w:rsid w:val="00A9579A"/>
    <w:rsid w:val="00AC2FD1"/>
    <w:rsid w:val="00AD5C50"/>
    <w:rsid w:val="00AE7C62"/>
    <w:rsid w:val="00AF7EE8"/>
    <w:rsid w:val="00B00BE7"/>
    <w:rsid w:val="00B07A39"/>
    <w:rsid w:val="00B13879"/>
    <w:rsid w:val="00B15236"/>
    <w:rsid w:val="00B328C9"/>
    <w:rsid w:val="00B443A7"/>
    <w:rsid w:val="00B45862"/>
    <w:rsid w:val="00B647F3"/>
    <w:rsid w:val="00B731A0"/>
    <w:rsid w:val="00BA5F59"/>
    <w:rsid w:val="00BA77B5"/>
    <w:rsid w:val="00BE54DA"/>
    <w:rsid w:val="00BF280D"/>
    <w:rsid w:val="00C0180A"/>
    <w:rsid w:val="00C051D9"/>
    <w:rsid w:val="00C15E1B"/>
    <w:rsid w:val="00C16D6D"/>
    <w:rsid w:val="00C247BC"/>
    <w:rsid w:val="00C304E2"/>
    <w:rsid w:val="00C43FC8"/>
    <w:rsid w:val="00C463F7"/>
    <w:rsid w:val="00C5022D"/>
    <w:rsid w:val="00C66A8C"/>
    <w:rsid w:val="00C66B06"/>
    <w:rsid w:val="00C72295"/>
    <w:rsid w:val="00C90629"/>
    <w:rsid w:val="00C94774"/>
    <w:rsid w:val="00C96B90"/>
    <w:rsid w:val="00CA1C0F"/>
    <w:rsid w:val="00CA3781"/>
    <w:rsid w:val="00CA3A27"/>
    <w:rsid w:val="00CA3F97"/>
    <w:rsid w:val="00CA68E0"/>
    <w:rsid w:val="00CB5F6E"/>
    <w:rsid w:val="00CE4FFF"/>
    <w:rsid w:val="00CF6B0B"/>
    <w:rsid w:val="00D05BF5"/>
    <w:rsid w:val="00D12CB6"/>
    <w:rsid w:val="00D13A61"/>
    <w:rsid w:val="00D26AEB"/>
    <w:rsid w:val="00D27A0E"/>
    <w:rsid w:val="00D33411"/>
    <w:rsid w:val="00D6204F"/>
    <w:rsid w:val="00D7546F"/>
    <w:rsid w:val="00D75D99"/>
    <w:rsid w:val="00D91A4B"/>
    <w:rsid w:val="00D9728F"/>
    <w:rsid w:val="00DC7FB8"/>
    <w:rsid w:val="00DD7C59"/>
    <w:rsid w:val="00DE6266"/>
    <w:rsid w:val="00DF6B15"/>
    <w:rsid w:val="00E01989"/>
    <w:rsid w:val="00E2431C"/>
    <w:rsid w:val="00E26E5D"/>
    <w:rsid w:val="00E33A4B"/>
    <w:rsid w:val="00E50CAF"/>
    <w:rsid w:val="00E5335E"/>
    <w:rsid w:val="00E633B6"/>
    <w:rsid w:val="00E67B85"/>
    <w:rsid w:val="00E84B8D"/>
    <w:rsid w:val="00E96DA5"/>
    <w:rsid w:val="00E97139"/>
    <w:rsid w:val="00EB67EB"/>
    <w:rsid w:val="00EC30C7"/>
    <w:rsid w:val="00EC351E"/>
    <w:rsid w:val="00EC4893"/>
    <w:rsid w:val="00EE54AF"/>
    <w:rsid w:val="00EF0129"/>
    <w:rsid w:val="00EF3A2A"/>
    <w:rsid w:val="00F16AB4"/>
    <w:rsid w:val="00F220BA"/>
    <w:rsid w:val="00F272E4"/>
    <w:rsid w:val="00F367F1"/>
    <w:rsid w:val="00F437C1"/>
    <w:rsid w:val="00F53EE4"/>
    <w:rsid w:val="00F779E8"/>
    <w:rsid w:val="00F90870"/>
    <w:rsid w:val="00F94C04"/>
    <w:rsid w:val="00FA0C30"/>
    <w:rsid w:val="00FA2F4C"/>
    <w:rsid w:val="00FA4545"/>
    <w:rsid w:val="00FA5F0D"/>
    <w:rsid w:val="00FC212C"/>
    <w:rsid w:val="00FC3FDB"/>
    <w:rsid w:val="00FC4357"/>
    <w:rsid w:val="00FD2468"/>
    <w:rsid w:val="00FD6ACB"/>
    <w:rsid w:val="00FD7B8F"/>
    <w:rsid w:val="00FE4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939D5"/>
  <w15:chartTrackingRefBased/>
  <w15:docId w15:val="{3B8A404C-2F52-439C-B55A-CCCA8A2A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D5"/>
    <w:pPr>
      <w:spacing w:after="0" w:line="240" w:lineRule="auto"/>
    </w:pPr>
    <w:rPr>
      <w:rFonts w:eastAsiaTheme="minorEastAsia"/>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ACB"/>
    <w:pPr>
      <w:tabs>
        <w:tab w:val="center" w:pos="4320"/>
        <w:tab w:val="right" w:pos="8640"/>
      </w:tabs>
    </w:pPr>
  </w:style>
  <w:style w:type="character" w:customStyle="1" w:styleId="HeaderChar">
    <w:name w:val="Header Char"/>
    <w:basedOn w:val="DefaultParagraphFont"/>
    <w:link w:val="Header"/>
    <w:uiPriority w:val="99"/>
    <w:rsid w:val="00FD6ACB"/>
    <w:rPr>
      <w:rFonts w:eastAsiaTheme="minorEastAsia"/>
      <w:kern w:val="0"/>
      <w:sz w:val="24"/>
      <w:szCs w:val="24"/>
      <w:lang w:val="en-GB"/>
      <w14:ligatures w14:val="none"/>
    </w:rPr>
  </w:style>
  <w:style w:type="paragraph" w:styleId="Footer">
    <w:name w:val="footer"/>
    <w:basedOn w:val="Normal"/>
    <w:link w:val="FooterChar"/>
    <w:unhideWhenUsed/>
    <w:rsid w:val="00FD6ACB"/>
    <w:pPr>
      <w:tabs>
        <w:tab w:val="center" w:pos="4320"/>
        <w:tab w:val="right" w:pos="8640"/>
      </w:tabs>
    </w:pPr>
  </w:style>
  <w:style w:type="character" w:customStyle="1" w:styleId="FooterChar">
    <w:name w:val="Footer Char"/>
    <w:basedOn w:val="DefaultParagraphFont"/>
    <w:link w:val="Footer"/>
    <w:rsid w:val="00FD6ACB"/>
    <w:rPr>
      <w:rFonts w:eastAsiaTheme="minorEastAsia"/>
      <w:kern w:val="0"/>
      <w:sz w:val="24"/>
      <w:szCs w:val="24"/>
      <w:lang w:val="en-GB"/>
      <w14:ligatures w14:val="none"/>
    </w:rPr>
  </w:style>
  <w:style w:type="paragraph" w:customStyle="1" w:styleId="VFLetterheadfooterAddrs">
    <w:name w:val="VF_Letterhead_footerAddrs"/>
    <w:basedOn w:val="Normal"/>
    <w:autoRedefine/>
    <w:rsid w:val="00FD6ACB"/>
    <w:pPr>
      <w:tabs>
        <w:tab w:val="center" w:pos="4320"/>
        <w:tab w:val="right" w:pos="8640"/>
      </w:tabs>
    </w:pPr>
    <w:rPr>
      <w:rFonts w:ascii="Vodafone Rg" w:eastAsia="Times New Roman" w:hAnsi="Vodafone Rg" w:cs="Times New Roman"/>
      <w:b/>
      <w:sz w:val="22"/>
      <w:szCs w:val="22"/>
      <w:lang w:val="en-US"/>
    </w:rPr>
  </w:style>
  <w:style w:type="table" w:customStyle="1" w:styleId="TableGrid1">
    <w:name w:val="Table Grid1"/>
    <w:basedOn w:val="TableNormal"/>
    <w:next w:val="TableGrid"/>
    <w:uiPriority w:val="39"/>
    <w:rsid w:val="00FD6ACB"/>
    <w:pPr>
      <w:spacing w:after="0" w:line="240" w:lineRule="auto"/>
    </w:pPr>
    <w:rPr>
      <w:rFonts w:eastAsia="MS Mincho"/>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D6ACB"/>
    <w:pPr>
      <w:autoSpaceDE w:val="0"/>
      <w:autoSpaceDN w:val="0"/>
    </w:pPr>
    <w:rPr>
      <w:rFonts w:ascii="Vodafone Rg" w:eastAsiaTheme="minorHAnsi" w:hAnsi="Vodafone Rg" w:cs="Times New Roman"/>
      <w:color w:val="000000"/>
      <w:lang w:val="en-US"/>
    </w:rPr>
  </w:style>
  <w:style w:type="paragraph" w:styleId="ListParagraph">
    <w:name w:val="List Paragraph"/>
    <w:aliases w:val="Primus H 3,lp1,List Paragraph11,List Paragraph1 Char Char,Use Case List Paragraph Char,YC Bulet,Table Number Paragraph,Figure_name,Citation List,본문(내용),List Paragraph (numbered (a)),Equipment,Numbered Indented Text,List Paragraph1,b1,new"/>
    <w:basedOn w:val="Normal"/>
    <w:link w:val="ListParagraphChar"/>
    <w:uiPriority w:val="34"/>
    <w:qFormat/>
    <w:rsid w:val="00950CBE"/>
    <w:pPr>
      <w:spacing w:after="200" w:line="276" w:lineRule="auto"/>
      <w:ind w:left="720"/>
      <w:contextualSpacing/>
    </w:pPr>
    <w:rPr>
      <w:rFonts w:eastAsia="Batang"/>
      <w:sz w:val="22"/>
      <w:szCs w:val="22"/>
    </w:rPr>
  </w:style>
  <w:style w:type="character" w:customStyle="1" w:styleId="ListParagraphChar">
    <w:name w:val="List Paragraph Char"/>
    <w:aliases w:val="Primus H 3 Char,lp1 Char,List Paragraph11 Char,List Paragraph1 Char Char Char,Use Case List Paragraph Char Char,YC Bulet Char,Table Number Paragraph Char,Figure_name Char,Citation List Char,본문(내용) Char,Equipment Char,b1 Char,new Char"/>
    <w:basedOn w:val="DefaultParagraphFont"/>
    <w:link w:val="ListParagraph"/>
    <w:uiPriority w:val="34"/>
    <w:qFormat/>
    <w:locked/>
    <w:rsid w:val="00950CBE"/>
    <w:rPr>
      <w:rFonts w:eastAsia="Batang"/>
      <w:kern w:val="0"/>
      <w:lang w:val="en-GB"/>
      <w14:ligatures w14:val="none"/>
    </w:rPr>
  </w:style>
  <w:style w:type="character" w:styleId="Hyperlink">
    <w:name w:val="Hyperlink"/>
    <w:basedOn w:val="DefaultParagraphFont"/>
    <w:uiPriority w:val="99"/>
    <w:unhideWhenUsed/>
    <w:rsid w:val="00B328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396">
      <w:bodyDiv w:val="1"/>
      <w:marLeft w:val="0"/>
      <w:marRight w:val="0"/>
      <w:marTop w:val="0"/>
      <w:marBottom w:val="0"/>
      <w:divBdr>
        <w:top w:val="none" w:sz="0" w:space="0" w:color="auto"/>
        <w:left w:val="none" w:sz="0" w:space="0" w:color="auto"/>
        <w:bottom w:val="none" w:sz="0" w:space="0" w:color="auto"/>
        <w:right w:val="none" w:sz="0" w:space="0" w:color="auto"/>
      </w:divBdr>
    </w:div>
    <w:div w:id="68968030">
      <w:bodyDiv w:val="1"/>
      <w:marLeft w:val="0"/>
      <w:marRight w:val="0"/>
      <w:marTop w:val="0"/>
      <w:marBottom w:val="0"/>
      <w:divBdr>
        <w:top w:val="none" w:sz="0" w:space="0" w:color="auto"/>
        <w:left w:val="none" w:sz="0" w:space="0" w:color="auto"/>
        <w:bottom w:val="none" w:sz="0" w:space="0" w:color="auto"/>
        <w:right w:val="none" w:sz="0" w:space="0" w:color="auto"/>
      </w:divBdr>
    </w:div>
    <w:div w:id="104425777">
      <w:bodyDiv w:val="1"/>
      <w:marLeft w:val="0"/>
      <w:marRight w:val="0"/>
      <w:marTop w:val="0"/>
      <w:marBottom w:val="0"/>
      <w:divBdr>
        <w:top w:val="none" w:sz="0" w:space="0" w:color="auto"/>
        <w:left w:val="none" w:sz="0" w:space="0" w:color="auto"/>
        <w:bottom w:val="none" w:sz="0" w:space="0" w:color="auto"/>
        <w:right w:val="none" w:sz="0" w:space="0" w:color="auto"/>
      </w:divBdr>
    </w:div>
    <w:div w:id="110633467">
      <w:bodyDiv w:val="1"/>
      <w:marLeft w:val="0"/>
      <w:marRight w:val="0"/>
      <w:marTop w:val="0"/>
      <w:marBottom w:val="0"/>
      <w:divBdr>
        <w:top w:val="none" w:sz="0" w:space="0" w:color="auto"/>
        <w:left w:val="none" w:sz="0" w:space="0" w:color="auto"/>
        <w:bottom w:val="none" w:sz="0" w:space="0" w:color="auto"/>
        <w:right w:val="none" w:sz="0" w:space="0" w:color="auto"/>
      </w:divBdr>
    </w:div>
    <w:div w:id="208297756">
      <w:bodyDiv w:val="1"/>
      <w:marLeft w:val="0"/>
      <w:marRight w:val="0"/>
      <w:marTop w:val="0"/>
      <w:marBottom w:val="0"/>
      <w:divBdr>
        <w:top w:val="none" w:sz="0" w:space="0" w:color="auto"/>
        <w:left w:val="none" w:sz="0" w:space="0" w:color="auto"/>
        <w:bottom w:val="none" w:sz="0" w:space="0" w:color="auto"/>
        <w:right w:val="none" w:sz="0" w:space="0" w:color="auto"/>
      </w:divBdr>
    </w:div>
    <w:div w:id="223495771">
      <w:bodyDiv w:val="1"/>
      <w:marLeft w:val="0"/>
      <w:marRight w:val="0"/>
      <w:marTop w:val="0"/>
      <w:marBottom w:val="0"/>
      <w:divBdr>
        <w:top w:val="none" w:sz="0" w:space="0" w:color="auto"/>
        <w:left w:val="none" w:sz="0" w:space="0" w:color="auto"/>
        <w:bottom w:val="none" w:sz="0" w:space="0" w:color="auto"/>
        <w:right w:val="none" w:sz="0" w:space="0" w:color="auto"/>
      </w:divBdr>
    </w:div>
    <w:div w:id="263734874">
      <w:bodyDiv w:val="1"/>
      <w:marLeft w:val="0"/>
      <w:marRight w:val="0"/>
      <w:marTop w:val="0"/>
      <w:marBottom w:val="0"/>
      <w:divBdr>
        <w:top w:val="none" w:sz="0" w:space="0" w:color="auto"/>
        <w:left w:val="none" w:sz="0" w:space="0" w:color="auto"/>
        <w:bottom w:val="none" w:sz="0" w:space="0" w:color="auto"/>
        <w:right w:val="none" w:sz="0" w:space="0" w:color="auto"/>
      </w:divBdr>
    </w:div>
    <w:div w:id="278340359">
      <w:bodyDiv w:val="1"/>
      <w:marLeft w:val="0"/>
      <w:marRight w:val="0"/>
      <w:marTop w:val="0"/>
      <w:marBottom w:val="0"/>
      <w:divBdr>
        <w:top w:val="none" w:sz="0" w:space="0" w:color="auto"/>
        <w:left w:val="none" w:sz="0" w:space="0" w:color="auto"/>
        <w:bottom w:val="none" w:sz="0" w:space="0" w:color="auto"/>
        <w:right w:val="none" w:sz="0" w:space="0" w:color="auto"/>
      </w:divBdr>
    </w:div>
    <w:div w:id="307175402">
      <w:bodyDiv w:val="1"/>
      <w:marLeft w:val="0"/>
      <w:marRight w:val="0"/>
      <w:marTop w:val="0"/>
      <w:marBottom w:val="0"/>
      <w:divBdr>
        <w:top w:val="none" w:sz="0" w:space="0" w:color="auto"/>
        <w:left w:val="none" w:sz="0" w:space="0" w:color="auto"/>
        <w:bottom w:val="none" w:sz="0" w:space="0" w:color="auto"/>
        <w:right w:val="none" w:sz="0" w:space="0" w:color="auto"/>
      </w:divBdr>
    </w:div>
    <w:div w:id="322010467">
      <w:bodyDiv w:val="1"/>
      <w:marLeft w:val="0"/>
      <w:marRight w:val="0"/>
      <w:marTop w:val="0"/>
      <w:marBottom w:val="0"/>
      <w:divBdr>
        <w:top w:val="none" w:sz="0" w:space="0" w:color="auto"/>
        <w:left w:val="none" w:sz="0" w:space="0" w:color="auto"/>
        <w:bottom w:val="none" w:sz="0" w:space="0" w:color="auto"/>
        <w:right w:val="none" w:sz="0" w:space="0" w:color="auto"/>
      </w:divBdr>
    </w:div>
    <w:div w:id="323701039">
      <w:bodyDiv w:val="1"/>
      <w:marLeft w:val="0"/>
      <w:marRight w:val="0"/>
      <w:marTop w:val="0"/>
      <w:marBottom w:val="0"/>
      <w:divBdr>
        <w:top w:val="none" w:sz="0" w:space="0" w:color="auto"/>
        <w:left w:val="none" w:sz="0" w:space="0" w:color="auto"/>
        <w:bottom w:val="none" w:sz="0" w:space="0" w:color="auto"/>
        <w:right w:val="none" w:sz="0" w:space="0" w:color="auto"/>
      </w:divBdr>
    </w:div>
    <w:div w:id="345521921">
      <w:bodyDiv w:val="1"/>
      <w:marLeft w:val="0"/>
      <w:marRight w:val="0"/>
      <w:marTop w:val="0"/>
      <w:marBottom w:val="0"/>
      <w:divBdr>
        <w:top w:val="none" w:sz="0" w:space="0" w:color="auto"/>
        <w:left w:val="none" w:sz="0" w:space="0" w:color="auto"/>
        <w:bottom w:val="none" w:sz="0" w:space="0" w:color="auto"/>
        <w:right w:val="none" w:sz="0" w:space="0" w:color="auto"/>
      </w:divBdr>
    </w:div>
    <w:div w:id="420833594">
      <w:bodyDiv w:val="1"/>
      <w:marLeft w:val="0"/>
      <w:marRight w:val="0"/>
      <w:marTop w:val="0"/>
      <w:marBottom w:val="0"/>
      <w:divBdr>
        <w:top w:val="none" w:sz="0" w:space="0" w:color="auto"/>
        <w:left w:val="none" w:sz="0" w:space="0" w:color="auto"/>
        <w:bottom w:val="none" w:sz="0" w:space="0" w:color="auto"/>
        <w:right w:val="none" w:sz="0" w:space="0" w:color="auto"/>
      </w:divBdr>
    </w:div>
    <w:div w:id="442381731">
      <w:bodyDiv w:val="1"/>
      <w:marLeft w:val="0"/>
      <w:marRight w:val="0"/>
      <w:marTop w:val="0"/>
      <w:marBottom w:val="0"/>
      <w:divBdr>
        <w:top w:val="none" w:sz="0" w:space="0" w:color="auto"/>
        <w:left w:val="none" w:sz="0" w:space="0" w:color="auto"/>
        <w:bottom w:val="none" w:sz="0" w:space="0" w:color="auto"/>
        <w:right w:val="none" w:sz="0" w:space="0" w:color="auto"/>
      </w:divBdr>
    </w:div>
    <w:div w:id="507446643">
      <w:bodyDiv w:val="1"/>
      <w:marLeft w:val="0"/>
      <w:marRight w:val="0"/>
      <w:marTop w:val="0"/>
      <w:marBottom w:val="0"/>
      <w:divBdr>
        <w:top w:val="none" w:sz="0" w:space="0" w:color="auto"/>
        <w:left w:val="none" w:sz="0" w:space="0" w:color="auto"/>
        <w:bottom w:val="none" w:sz="0" w:space="0" w:color="auto"/>
        <w:right w:val="none" w:sz="0" w:space="0" w:color="auto"/>
      </w:divBdr>
    </w:div>
    <w:div w:id="539050241">
      <w:bodyDiv w:val="1"/>
      <w:marLeft w:val="0"/>
      <w:marRight w:val="0"/>
      <w:marTop w:val="0"/>
      <w:marBottom w:val="0"/>
      <w:divBdr>
        <w:top w:val="none" w:sz="0" w:space="0" w:color="auto"/>
        <w:left w:val="none" w:sz="0" w:space="0" w:color="auto"/>
        <w:bottom w:val="none" w:sz="0" w:space="0" w:color="auto"/>
        <w:right w:val="none" w:sz="0" w:space="0" w:color="auto"/>
      </w:divBdr>
    </w:div>
    <w:div w:id="543294519">
      <w:bodyDiv w:val="1"/>
      <w:marLeft w:val="0"/>
      <w:marRight w:val="0"/>
      <w:marTop w:val="0"/>
      <w:marBottom w:val="0"/>
      <w:divBdr>
        <w:top w:val="none" w:sz="0" w:space="0" w:color="auto"/>
        <w:left w:val="none" w:sz="0" w:space="0" w:color="auto"/>
        <w:bottom w:val="none" w:sz="0" w:space="0" w:color="auto"/>
        <w:right w:val="none" w:sz="0" w:space="0" w:color="auto"/>
      </w:divBdr>
    </w:div>
    <w:div w:id="558789160">
      <w:bodyDiv w:val="1"/>
      <w:marLeft w:val="0"/>
      <w:marRight w:val="0"/>
      <w:marTop w:val="0"/>
      <w:marBottom w:val="0"/>
      <w:divBdr>
        <w:top w:val="none" w:sz="0" w:space="0" w:color="auto"/>
        <w:left w:val="none" w:sz="0" w:space="0" w:color="auto"/>
        <w:bottom w:val="none" w:sz="0" w:space="0" w:color="auto"/>
        <w:right w:val="none" w:sz="0" w:space="0" w:color="auto"/>
      </w:divBdr>
    </w:div>
    <w:div w:id="559681775">
      <w:bodyDiv w:val="1"/>
      <w:marLeft w:val="0"/>
      <w:marRight w:val="0"/>
      <w:marTop w:val="0"/>
      <w:marBottom w:val="0"/>
      <w:divBdr>
        <w:top w:val="none" w:sz="0" w:space="0" w:color="auto"/>
        <w:left w:val="none" w:sz="0" w:space="0" w:color="auto"/>
        <w:bottom w:val="none" w:sz="0" w:space="0" w:color="auto"/>
        <w:right w:val="none" w:sz="0" w:space="0" w:color="auto"/>
      </w:divBdr>
    </w:div>
    <w:div w:id="566762963">
      <w:bodyDiv w:val="1"/>
      <w:marLeft w:val="0"/>
      <w:marRight w:val="0"/>
      <w:marTop w:val="0"/>
      <w:marBottom w:val="0"/>
      <w:divBdr>
        <w:top w:val="none" w:sz="0" w:space="0" w:color="auto"/>
        <w:left w:val="none" w:sz="0" w:space="0" w:color="auto"/>
        <w:bottom w:val="none" w:sz="0" w:space="0" w:color="auto"/>
        <w:right w:val="none" w:sz="0" w:space="0" w:color="auto"/>
      </w:divBdr>
    </w:div>
    <w:div w:id="650057890">
      <w:bodyDiv w:val="1"/>
      <w:marLeft w:val="0"/>
      <w:marRight w:val="0"/>
      <w:marTop w:val="0"/>
      <w:marBottom w:val="0"/>
      <w:divBdr>
        <w:top w:val="none" w:sz="0" w:space="0" w:color="auto"/>
        <w:left w:val="none" w:sz="0" w:space="0" w:color="auto"/>
        <w:bottom w:val="none" w:sz="0" w:space="0" w:color="auto"/>
        <w:right w:val="none" w:sz="0" w:space="0" w:color="auto"/>
      </w:divBdr>
    </w:div>
    <w:div w:id="679241063">
      <w:bodyDiv w:val="1"/>
      <w:marLeft w:val="0"/>
      <w:marRight w:val="0"/>
      <w:marTop w:val="0"/>
      <w:marBottom w:val="0"/>
      <w:divBdr>
        <w:top w:val="none" w:sz="0" w:space="0" w:color="auto"/>
        <w:left w:val="none" w:sz="0" w:space="0" w:color="auto"/>
        <w:bottom w:val="none" w:sz="0" w:space="0" w:color="auto"/>
        <w:right w:val="none" w:sz="0" w:space="0" w:color="auto"/>
      </w:divBdr>
    </w:div>
    <w:div w:id="791948561">
      <w:bodyDiv w:val="1"/>
      <w:marLeft w:val="0"/>
      <w:marRight w:val="0"/>
      <w:marTop w:val="0"/>
      <w:marBottom w:val="0"/>
      <w:divBdr>
        <w:top w:val="none" w:sz="0" w:space="0" w:color="auto"/>
        <w:left w:val="none" w:sz="0" w:space="0" w:color="auto"/>
        <w:bottom w:val="none" w:sz="0" w:space="0" w:color="auto"/>
        <w:right w:val="none" w:sz="0" w:space="0" w:color="auto"/>
      </w:divBdr>
    </w:div>
    <w:div w:id="870800569">
      <w:bodyDiv w:val="1"/>
      <w:marLeft w:val="0"/>
      <w:marRight w:val="0"/>
      <w:marTop w:val="0"/>
      <w:marBottom w:val="0"/>
      <w:divBdr>
        <w:top w:val="none" w:sz="0" w:space="0" w:color="auto"/>
        <w:left w:val="none" w:sz="0" w:space="0" w:color="auto"/>
        <w:bottom w:val="none" w:sz="0" w:space="0" w:color="auto"/>
        <w:right w:val="none" w:sz="0" w:space="0" w:color="auto"/>
      </w:divBdr>
    </w:div>
    <w:div w:id="921182573">
      <w:bodyDiv w:val="1"/>
      <w:marLeft w:val="0"/>
      <w:marRight w:val="0"/>
      <w:marTop w:val="0"/>
      <w:marBottom w:val="0"/>
      <w:divBdr>
        <w:top w:val="none" w:sz="0" w:space="0" w:color="auto"/>
        <w:left w:val="none" w:sz="0" w:space="0" w:color="auto"/>
        <w:bottom w:val="none" w:sz="0" w:space="0" w:color="auto"/>
        <w:right w:val="none" w:sz="0" w:space="0" w:color="auto"/>
      </w:divBdr>
    </w:div>
    <w:div w:id="970861484">
      <w:bodyDiv w:val="1"/>
      <w:marLeft w:val="0"/>
      <w:marRight w:val="0"/>
      <w:marTop w:val="0"/>
      <w:marBottom w:val="0"/>
      <w:divBdr>
        <w:top w:val="none" w:sz="0" w:space="0" w:color="auto"/>
        <w:left w:val="none" w:sz="0" w:space="0" w:color="auto"/>
        <w:bottom w:val="none" w:sz="0" w:space="0" w:color="auto"/>
        <w:right w:val="none" w:sz="0" w:space="0" w:color="auto"/>
      </w:divBdr>
    </w:div>
    <w:div w:id="1087308981">
      <w:bodyDiv w:val="1"/>
      <w:marLeft w:val="0"/>
      <w:marRight w:val="0"/>
      <w:marTop w:val="0"/>
      <w:marBottom w:val="0"/>
      <w:divBdr>
        <w:top w:val="none" w:sz="0" w:space="0" w:color="auto"/>
        <w:left w:val="none" w:sz="0" w:space="0" w:color="auto"/>
        <w:bottom w:val="none" w:sz="0" w:space="0" w:color="auto"/>
        <w:right w:val="none" w:sz="0" w:space="0" w:color="auto"/>
      </w:divBdr>
    </w:div>
    <w:div w:id="1105805566">
      <w:bodyDiv w:val="1"/>
      <w:marLeft w:val="0"/>
      <w:marRight w:val="0"/>
      <w:marTop w:val="0"/>
      <w:marBottom w:val="0"/>
      <w:divBdr>
        <w:top w:val="none" w:sz="0" w:space="0" w:color="auto"/>
        <w:left w:val="none" w:sz="0" w:space="0" w:color="auto"/>
        <w:bottom w:val="none" w:sz="0" w:space="0" w:color="auto"/>
        <w:right w:val="none" w:sz="0" w:space="0" w:color="auto"/>
      </w:divBdr>
    </w:div>
    <w:div w:id="1159735362">
      <w:bodyDiv w:val="1"/>
      <w:marLeft w:val="0"/>
      <w:marRight w:val="0"/>
      <w:marTop w:val="0"/>
      <w:marBottom w:val="0"/>
      <w:divBdr>
        <w:top w:val="none" w:sz="0" w:space="0" w:color="auto"/>
        <w:left w:val="none" w:sz="0" w:space="0" w:color="auto"/>
        <w:bottom w:val="none" w:sz="0" w:space="0" w:color="auto"/>
        <w:right w:val="none" w:sz="0" w:space="0" w:color="auto"/>
      </w:divBdr>
    </w:div>
    <w:div w:id="1170099295">
      <w:bodyDiv w:val="1"/>
      <w:marLeft w:val="0"/>
      <w:marRight w:val="0"/>
      <w:marTop w:val="0"/>
      <w:marBottom w:val="0"/>
      <w:divBdr>
        <w:top w:val="none" w:sz="0" w:space="0" w:color="auto"/>
        <w:left w:val="none" w:sz="0" w:space="0" w:color="auto"/>
        <w:bottom w:val="none" w:sz="0" w:space="0" w:color="auto"/>
        <w:right w:val="none" w:sz="0" w:space="0" w:color="auto"/>
      </w:divBdr>
    </w:div>
    <w:div w:id="1176338051">
      <w:bodyDiv w:val="1"/>
      <w:marLeft w:val="0"/>
      <w:marRight w:val="0"/>
      <w:marTop w:val="0"/>
      <w:marBottom w:val="0"/>
      <w:divBdr>
        <w:top w:val="none" w:sz="0" w:space="0" w:color="auto"/>
        <w:left w:val="none" w:sz="0" w:space="0" w:color="auto"/>
        <w:bottom w:val="none" w:sz="0" w:space="0" w:color="auto"/>
        <w:right w:val="none" w:sz="0" w:space="0" w:color="auto"/>
      </w:divBdr>
    </w:div>
    <w:div w:id="1230464092">
      <w:bodyDiv w:val="1"/>
      <w:marLeft w:val="0"/>
      <w:marRight w:val="0"/>
      <w:marTop w:val="0"/>
      <w:marBottom w:val="0"/>
      <w:divBdr>
        <w:top w:val="none" w:sz="0" w:space="0" w:color="auto"/>
        <w:left w:val="none" w:sz="0" w:space="0" w:color="auto"/>
        <w:bottom w:val="none" w:sz="0" w:space="0" w:color="auto"/>
        <w:right w:val="none" w:sz="0" w:space="0" w:color="auto"/>
      </w:divBdr>
    </w:div>
    <w:div w:id="1260679178">
      <w:bodyDiv w:val="1"/>
      <w:marLeft w:val="0"/>
      <w:marRight w:val="0"/>
      <w:marTop w:val="0"/>
      <w:marBottom w:val="0"/>
      <w:divBdr>
        <w:top w:val="none" w:sz="0" w:space="0" w:color="auto"/>
        <w:left w:val="none" w:sz="0" w:space="0" w:color="auto"/>
        <w:bottom w:val="none" w:sz="0" w:space="0" w:color="auto"/>
        <w:right w:val="none" w:sz="0" w:space="0" w:color="auto"/>
      </w:divBdr>
    </w:div>
    <w:div w:id="1262253503">
      <w:bodyDiv w:val="1"/>
      <w:marLeft w:val="0"/>
      <w:marRight w:val="0"/>
      <w:marTop w:val="0"/>
      <w:marBottom w:val="0"/>
      <w:divBdr>
        <w:top w:val="none" w:sz="0" w:space="0" w:color="auto"/>
        <w:left w:val="none" w:sz="0" w:space="0" w:color="auto"/>
        <w:bottom w:val="none" w:sz="0" w:space="0" w:color="auto"/>
        <w:right w:val="none" w:sz="0" w:space="0" w:color="auto"/>
      </w:divBdr>
    </w:div>
    <w:div w:id="1327825351">
      <w:bodyDiv w:val="1"/>
      <w:marLeft w:val="0"/>
      <w:marRight w:val="0"/>
      <w:marTop w:val="0"/>
      <w:marBottom w:val="0"/>
      <w:divBdr>
        <w:top w:val="none" w:sz="0" w:space="0" w:color="auto"/>
        <w:left w:val="none" w:sz="0" w:space="0" w:color="auto"/>
        <w:bottom w:val="none" w:sz="0" w:space="0" w:color="auto"/>
        <w:right w:val="none" w:sz="0" w:space="0" w:color="auto"/>
      </w:divBdr>
    </w:div>
    <w:div w:id="1340232410">
      <w:bodyDiv w:val="1"/>
      <w:marLeft w:val="0"/>
      <w:marRight w:val="0"/>
      <w:marTop w:val="0"/>
      <w:marBottom w:val="0"/>
      <w:divBdr>
        <w:top w:val="none" w:sz="0" w:space="0" w:color="auto"/>
        <w:left w:val="none" w:sz="0" w:space="0" w:color="auto"/>
        <w:bottom w:val="none" w:sz="0" w:space="0" w:color="auto"/>
        <w:right w:val="none" w:sz="0" w:space="0" w:color="auto"/>
      </w:divBdr>
    </w:div>
    <w:div w:id="1387214706">
      <w:bodyDiv w:val="1"/>
      <w:marLeft w:val="0"/>
      <w:marRight w:val="0"/>
      <w:marTop w:val="0"/>
      <w:marBottom w:val="0"/>
      <w:divBdr>
        <w:top w:val="none" w:sz="0" w:space="0" w:color="auto"/>
        <w:left w:val="none" w:sz="0" w:space="0" w:color="auto"/>
        <w:bottom w:val="none" w:sz="0" w:space="0" w:color="auto"/>
        <w:right w:val="none" w:sz="0" w:space="0" w:color="auto"/>
      </w:divBdr>
    </w:div>
    <w:div w:id="1409419888">
      <w:bodyDiv w:val="1"/>
      <w:marLeft w:val="0"/>
      <w:marRight w:val="0"/>
      <w:marTop w:val="0"/>
      <w:marBottom w:val="0"/>
      <w:divBdr>
        <w:top w:val="none" w:sz="0" w:space="0" w:color="auto"/>
        <w:left w:val="none" w:sz="0" w:space="0" w:color="auto"/>
        <w:bottom w:val="none" w:sz="0" w:space="0" w:color="auto"/>
        <w:right w:val="none" w:sz="0" w:space="0" w:color="auto"/>
      </w:divBdr>
    </w:div>
    <w:div w:id="1542396175">
      <w:bodyDiv w:val="1"/>
      <w:marLeft w:val="0"/>
      <w:marRight w:val="0"/>
      <w:marTop w:val="0"/>
      <w:marBottom w:val="0"/>
      <w:divBdr>
        <w:top w:val="none" w:sz="0" w:space="0" w:color="auto"/>
        <w:left w:val="none" w:sz="0" w:space="0" w:color="auto"/>
        <w:bottom w:val="none" w:sz="0" w:space="0" w:color="auto"/>
        <w:right w:val="none" w:sz="0" w:space="0" w:color="auto"/>
      </w:divBdr>
    </w:div>
    <w:div w:id="1567648483">
      <w:bodyDiv w:val="1"/>
      <w:marLeft w:val="0"/>
      <w:marRight w:val="0"/>
      <w:marTop w:val="0"/>
      <w:marBottom w:val="0"/>
      <w:divBdr>
        <w:top w:val="none" w:sz="0" w:space="0" w:color="auto"/>
        <w:left w:val="none" w:sz="0" w:space="0" w:color="auto"/>
        <w:bottom w:val="none" w:sz="0" w:space="0" w:color="auto"/>
        <w:right w:val="none" w:sz="0" w:space="0" w:color="auto"/>
      </w:divBdr>
    </w:div>
    <w:div w:id="1595243975">
      <w:bodyDiv w:val="1"/>
      <w:marLeft w:val="0"/>
      <w:marRight w:val="0"/>
      <w:marTop w:val="0"/>
      <w:marBottom w:val="0"/>
      <w:divBdr>
        <w:top w:val="none" w:sz="0" w:space="0" w:color="auto"/>
        <w:left w:val="none" w:sz="0" w:space="0" w:color="auto"/>
        <w:bottom w:val="none" w:sz="0" w:space="0" w:color="auto"/>
        <w:right w:val="none" w:sz="0" w:space="0" w:color="auto"/>
      </w:divBdr>
    </w:div>
    <w:div w:id="1621649076">
      <w:bodyDiv w:val="1"/>
      <w:marLeft w:val="0"/>
      <w:marRight w:val="0"/>
      <w:marTop w:val="0"/>
      <w:marBottom w:val="0"/>
      <w:divBdr>
        <w:top w:val="none" w:sz="0" w:space="0" w:color="auto"/>
        <w:left w:val="none" w:sz="0" w:space="0" w:color="auto"/>
        <w:bottom w:val="none" w:sz="0" w:space="0" w:color="auto"/>
        <w:right w:val="none" w:sz="0" w:space="0" w:color="auto"/>
      </w:divBdr>
    </w:div>
    <w:div w:id="1674533604">
      <w:bodyDiv w:val="1"/>
      <w:marLeft w:val="0"/>
      <w:marRight w:val="0"/>
      <w:marTop w:val="0"/>
      <w:marBottom w:val="0"/>
      <w:divBdr>
        <w:top w:val="none" w:sz="0" w:space="0" w:color="auto"/>
        <w:left w:val="none" w:sz="0" w:space="0" w:color="auto"/>
        <w:bottom w:val="none" w:sz="0" w:space="0" w:color="auto"/>
        <w:right w:val="none" w:sz="0" w:space="0" w:color="auto"/>
      </w:divBdr>
    </w:div>
    <w:div w:id="1778524036">
      <w:bodyDiv w:val="1"/>
      <w:marLeft w:val="0"/>
      <w:marRight w:val="0"/>
      <w:marTop w:val="0"/>
      <w:marBottom w:val="0"/>
      <w:divBdr>
        <w:top w:val="none" w:sz="0" w:space="0" w:color="auto"/>
        <w:left w:val="none" w:sz="0" w:space="0" w:color="auto"/>
        <w:bottom w:val="none" w:sz="0" w:space="0" w:color="auto"/>
        <w:right w:val="none" w:sz="0" w:space="0" w:color="auto"/>
      </w:divBdr>
    </w:div>
    <w:div w:id="1826698194">
      <w:bodyDiv w:val="1"/>
      <w:marLeft w:val="0"/>
      <w:marRight w:val="0"/>
      <w:marTop w:val="0"/>
      <w:marBottom w:val="0"/>
      <w:divBdr>
        <w:top w:val="none" w:sz="0" w:space="0" w:color="auto"/>
        <w:left w:val="none" w:sz="0" w:space="0" w:color="auto"/>
        <w:bottom w:val="none" w:sz="0" w:space="0" w:color="auto"/>
        <w:right w:val="none" w:sz="0" w:space="0" w:color="auto"/>
      </w:divBdr>
    </w:div>
    <w:div w:id="1929272862">
      <w:bodyDiv w:val="1"/>
      <w:marLeft w:val="0"/>
      <w:marRight w:val="0"/>
      <w:marTop w:val="0"/>
      <w:marBottom w:val="0"/>
      <w:divBdr>
        <w:top w:val="none" w:sz="0" w:space="0" w:color="auto"/>
        <w:left w:val="none" w:sz="0" w:space="0" w:color="auto"/>
        <w:bottom w:val="none" w:sz="0" w:space="0" w:color="auto"/>
        <w:right w:val="none" w:sz="0" w:space="0" w:color="auto"/>
      </w:divBdr>
    </w:div>
    <w:div w:id="1948417179">
      <w:bodyDiv w:val="1"/>
      <w:marLeft w:val="0"/>
      <w:marRight w:val="0"/>
      <w:marTop w:val="0"/>
      <w:marBottom w:val="0"/>
      <w:divBdr>
        <w:top w:val="none" w:sz="0" w:space="0" w:color="auto"/>
        <w:left w:val="none" w:sz="0" w:space="0" w:color="auto"/>
        <w:bottom w:val="none" w:sz="0" w:space="0" w:color="auto"/>
        <w:right w:val="none" w:sz="0" w:space="0" w:color="auto"/>
      </w:divBdr>
    </w:div>
    <w:div w:id="2030984984">
      <w:bodyDiv w:val="1"/>
      <w:marLeft w:val="0"/>
      <w:marRight w:val="0"/>
      <w:marTop w:val="0"/>
      <w:marBottom w:val="0"/>
      <w:divBdr>
        <w:top w:val="none" w:sz="0" w:space="0" w:color="auto"/>
        <w:left w:val="none" w:sz="0" w:space="0" w:color="auto"/>
        <w:bottom w:val="none" w:sz="0" w:space="0" w:color="auto"/>
        <w:right w:val="none" w:sz="0" w:space="0" w:color="auto"/>
      </w:divBdr>
    </w:div>
    <w:div w:id="2043818107">
      <w:bodyDiv w:val="1"/>
      <w:marLeft w:val="0"/>
      <w:marRight w:val="0"/>
      <w:marTop w:val="0"/>
      <w:marBottom w:val="0"/>
      <w:divBdr>
        <w:top w:val="none" w:sz="0" w:space="0" w:color="auto"/>
        <w:left w:val="none" w:sz="0" w:space="0" w:color="auto"/>
        <w:bottom w:val="none" w:sz="0" w:space="0" w:color="auto"/>
        <w:right w:val="none" w:sz="0" w:space="0" w:color="auto"/>
      </w:divBdr>
    </w:div>
    <w:div w:id="2081366889">
      <w:bodyDiv w:val="1"/>
      <w:marLeft w:val="0"/>
      <w:marRight w:val="0"/>
      <w:marTop w:val="0"/>
      <w:marBottom w:val="0"/>
      <w:divBdr>
        <w:top w:val="none" w:sz="0" w:space="0" w:color="auto"/>
        <w:left w:val="none" w:sz="0" w:space="0" w:color="auto"/>
        <w:bottom w:val="none" w:sz="0" w:space="0" w:color="auto"/>
        <w:right w:val="none" w:sz="0" w:space="0" w:color="auto"/>
      </w:divBdr>
    </w:div>
    <w:div w:id="21396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51ba0d-f177-49c2-905a-0d933550228b">
      <Terms xmlns="http://schemas.microsoft.com/office/infopath/2007/PartnerControls"/>
    </lcf76f155ced4ddcb4097134ff3c332f>
    <TaxCatchAll xmlns="9a83848e-8424-4538-a502-8ad5dc4bbb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2F425BB56C542B393A30CFF9E24A8" ma:contentTypeVersion="10" ma:contentTypeDescription="Create a new document." ma:contentTypeScope="" ma:versionID="299315ff6b7401ba214ed1fb549c6fc0">
  <xsd:schema xmlns:xsd="http://www.w3.org/2001/XMLSchema" xmlns:xs="http://www.w3.org/2001/XMLSchema" xmlns:p="http://schemas.microsoft.com/office/2006/metadata/properties" xmlns:ns2="7551ba0d-f177-49c2-905a-0d933550228b" xmlns:ns3="9a83848e-8424-4538-a502-8ad5dc4bbb43" targetNamespace="http://schemas.microsoft.com/office/2006/metadata/properties" ma:root="true" ma:fieldsID="f3998c341b3ad710bd951871102184b4" ns2:_="" ns3:_="">
    <xsd:import namespace="7551ba0d-f177-49c2-905a-0d933550228b"/>
    <xsd:import namespace="9a83848e-8424-4538-a502-8ad5dc4bbb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ba0d-f177-49c2-905a-0d9335502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095b6b-1d03-4f25-b902-36d653c01e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3848e-8424-4538-a502-8ad5dc4bbb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e9f5b1-cf0c-456c-a486-612ce6498d99}" ma:internalName="TaxCatchAll" ma:showField="CatchAllData" ma:web="9a83848e-8424-4538-a502-8ad5dc4bb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0C6E9-7693-4236-9F61-79FC6AB0B5A6}">
  <ds:schemaRefs>
    <ds:schemaRef ds:uri="http://schemas.microsoft.com/office/2006/metadata/properties"/>
    <ds:schemaRef ds:uri="http://schemas.microsoft.com/office/infopath/2007/PartnerControls"/>
    <ds:schemaRef ds:uri="7551ba0d-f177-49c2-905a-0d933550228b"/>
    <ds:schemaRef ds:uri="9a83848e-8424-4538-a502-8ad5dc4bbb43"/>
  </ds:schemaRefs>
</ds:datastoreItem>
</file>

<file path=customXml/itemProps2.xml><?xml version="1.0" encoding="utf-8"?>
<ds:datastoreItem xmlns:ds="http://schemas.openxmlformats.org/officeDocument/2006/customXml" ds:itemID="{963AC509-40BA-4851-A855-42BA3E9CC350}">
  <ds:schemaRefs>
    <ds:schemaRef ds:uri="http://schemas.microsoft.com/sharepoint/v3/contenttype/forms"/>
  </ds:schemaRefs>
</ds:datastoreItem>
</file>

<file path=customXml/itemProps3.xml><?xml version="1.0" encoding="utf-8"?>
<ds:datastoreItem xmlns:ds="http://schemas.openxmlformats.org/officeDocument/2006/customXml" ds:itemID="{3EA82860-7037-46E1-995A-B68B0C77B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ba0d-f177-49c2-905a-0d933550228b"/>
    <ds:schemaRef ds:uri="9a83848e-8424-4538-a502-8ad5dc4bb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6F4A-6210-4FD7-B481-9AA84BF1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Vodafone Qatar</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Sawdaa, Rashid, Vodafone Qatar</dc:creator>
  <cp:keywords/>
  <dc:description/>
  <cp:lastModifiedBy>Al-Haddad, Maryam, Vodafone Qatar</cp:lastModifiedBy>
  <cp:revision>3</cp:revision>
  <cp:lastPrinted>2025-02-23T10:12:00Z</cp:lastPrinted>
  <dcterms:created xsi:type="dcterms:W3CDTF">2025-08-25T08:35:00Z</dcterms:created>
  <dcterms:modified xsi:type="dcterms:W3CDTF">2025-08-25T08:36:00Z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005795-ba7c-40ef-b6d7-815de3cb1a85_Enabled">
    <vt:lpwstr>true</vt:lpwstr>
  </property>
  <property fmtid="{D5CDD505-2E9C-101B-9397-08002B2CF9AE}" pid="3" name="MSIP_Label_4c005795-ba7c-40ef-b6d7-815de3cb1a85_SetDate">
    <vt:lpwstr>2023-10-02T05:45:39Z</vt:lpwstr>
  </property>
  <property fmtid="{D5CDD505-2E9C-101B-9397-08002B2CF9AE}" pid="4" name="MSIP_Label_4c005795-ba7c-40ef-b6d7-815de3cb1a85_Method">
    <vt:lpwstr>Standard</vt:lpwstr>
  </property>
  <property fmtid="{D5CDD505-2E9C-101B-9397-08002B2CF9AE}" pid="5" name="MSIP_Label_4c005795-ba7c-40ef-b6d7-815de3cb1a85_Name">
    <vt:lpwstr>defa4170-0d19-0005-0001-bc88714345d2</vt:lpwstr>
  </property>
  <property fmtid="{D5CDD505-2E9C-101B-9397-08002B2CF9AE}" pid="6" name="MSIP_Label_4c005795-ba7c-40ef-b6d7-815de3cb1a85_SiteId">
    <vt:lpwstr>c5d7ec23-378f-4174-8888-88b4c2ec7e12</vt:lpwstr>
  </property>
  <property fmtid="{D5CDD505-2E9C-101B-9397-08002B2CF9AE}" pid="7" name="MSIP_Label_4c005795-ba7c-40ef-b6d7-815de3cb1a85_ActionId">
    <vt:lpwstr>182eabcc-3e9b-4afd-a6b4-4e36a89954c7</vt:lpwstr>
  </property>
  <property fmtid="{D5CDD505-2E9C-101B-9397-08002B2CF9AE}" pid="8" name="MSIP_Label_4c005795-ba7c-40ef-b6d7-815de3cb1a85_ContentBits">
    <vt:lpwstr>0</vt:lpwstr>
  </property>
  <property fmtid="{D5CDD505-2E9C-101B-9397-08002B2CF9AE}" pid="9" name="GrammarlyDocumentId">
    <vt:lpwstr>79a81ccbac49a9113cee181c6caa5173e25c9a2554a5325f736f145c87eb281d</vt:lpwstr>
  </property>
  <property fmtid="{D5CDD505-2E9C-101B-9397-08002B2CF9AE}" pid="10" name="ContentTypeId">
    <vt:lpwstr>0x010100BEC2F425BB56C542B393A30CFF9E24A8</vt:lpwstr>
  </property>
</Properties>
</file>